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AF" w:rsidRDefault="00577A3E">
      <w:pPr>
        <w:pStyle w:val="Heading1"/>
        <w:spacing w:before="76"/>
        <w:ind w:left="1648"/>
      </w:pPr>
      <w:bookmarkStart w:id="0" w:name="_GoBack"/>
      <w:bookmarkEnd w:id="0"/>
      <w:r>
        <w:t>MCHCP STATE RETIREE WELFARE BENEFIT TRUST</w:t>
      </w:r>
    </w:p>
    <w:p w:rsidR="009826AF" w:rsidRDefault="00577A3E">
      <w:pPr>
        <w:spacing w:before="1"/>
        <w:ind w:left="1626" w:right="1450"/>
        <w:jc w:val="center"/>
        <w:rPr>
          <w:b/>
          <w:sz w:val="24"/>
        </w:rPr>
      </w:pPr>
      <w:r>
        <w:rPr>
          <w:b/>
          <w:sz w:val="24"/>
        </w:rPr>
        <w:t>Investment Policy</w:t>
      </w:r>
    </w:p>
    <w:p w:rsidR="009826AF" w:rsidRDefault="009826AF">
      <w:pPr>
        <w:pStyle w:val="BodyText"/>
        <w:rPr>
          <w:b/>
          <w:sz w:val="26"/>
        </w:rPr>
      </w:pPr>
    </w:p>
    <w:p w:rsidR="009826AF" w:rsidRDefault="009826AF">
      <w:pPr>
        <w:pStyle w:val="BodyText"/>
        <w:rPr>
          <w:b/>
          <w:sz w:val="22"/>
        </w:rPr>
      </w:pPr>
    </w:p>
    <w:p w:rsidR="009826AF" w:rsidRDefault="00577A3E">
      <w:pPr>
        <w:pStyle w:val="ListParagraph"/>
        <w:numPr>
          <w:ilvl w:val="0"/>
          <w:numId w:val="6"/>
        </w:numPr>
        <w:tabs>
          <w:tab w:val="left" w:pos="761"/>
        </w:tabs>
        <w:spacing w:line="240" w:lineRule="auto"/>
        <w:jc w:val="left"/>
        <w:rPr>
          <w:b/>
          <w:sz w:val="24"/>
        </w:rPr>
      </w:pPr>
      <w:r>
        <w:rPr>
          <w:b/>
          <w:sz w:val="24"/>
        </w:rPr>
        <w:t>STATEMENT OF OBJECTIVES AND</w:t>
      </w:r>
      <w:r>
        <w:rPr>
          <w:b/>
          <w:spacing w:val="-4"/>
          <w:sz w:val="24"/>
        </w:rPr>
        <w:t xml:space="preserve"> </w:t>
      </w:r>
      <w:r>
        <w:rPr>
          <w:b/>
          <w:sz w:val="24"/>
        </w:rPr>
        <w:t>AUTHORITY</w:t>
      </w:r>
    </w:p>
    <w:p w:rsidR="009826AF" w:rsidRDefault="009826AF">
      <w:pPr>
        <w:pStyle w:val="BodyText"/>
        <w:spacing w:before="2"/>
        <w:rPr>
          <w:b/>
        </w:rPr>
      </w:pPr>
    </w:p>
    <w:p w:rsidR="009826AF" w:rsidRDefault="00577A3E">
      <w:pPr>
        <w:pStyle w:val="ListParagraph"/>
        <w:numPr>
          <w:ilvl w:val="1"/>
          <w:numId w:val="6"/>
        </w:numPr>
        <w:tabs>
          <w:tab w:val="left" w:pos="1660"/>
          <w:tab w:val="left" w:pos="1661"/>
        </w:tabs>
        <w:spacing w:line="240" w:lineRule="auto"/>
        <w:rPr>
          <w:b/>
          <w:sz w:val="24"/>
        </w:rPr>
      </w:pPr>
      <w:r>
        <w:rPr>
          <w:b/>
          <w:sz w:val="24"/>
        </w:rPr>
        <w:t>Policy</w:t>
      </w:r>
      <w:r>
        <w:rPr>
          <w:b/>
          <w:spacing w:val="-1"/>
          <w:sz w:val="24"/>
        </w:rPr>
        <w:t xml:space="preserve"> </w:t>
      </w:r>
      <w:r>
        <w:rPr>
          <w:b/>
          <w:sz w:val="24"/>
        </w:rPr>
        <w:t>Objectives</w:t>
      </w:r>
    </w:p>
    <w:p w:rsidR="009826AF" w:rsidRDefault="009826AF">
      <w:pPr>
        <w:pStyle w:val="BodyText"/>
        <w:spacing w:before="3"/>
        <w:rPr>
          <w:b/>
          <w:sz w:val="23"/>
        </w:rPr>
      </w:pPr>
    </w:p>
    <w:p w:rsidR="009826AF" w:rsidRDefault="00577A3E">
      <w:pPr>
        <w:pStyle w:val="BodyText"/>
        <w:ind w:left="1660" w:right="161"/>
      </w:pPr>
      <w:r>
        <w:t>The objective of this policy is to outline acceptable investments of the retirement system and provide guidelines for the management of investment securities in the portfolio. The guidelines and management overview process are to be used to design and manage the portfolio based upon the characteristics of the associated pension obligations. Yields on the investment securities should create an adequate spread to cover the associated liabilities.</w:t>
      </w:r>
    </w:p>
    <w:p w:rsidR="009826AF" w:rsidRDefault="009826AF">
      <w:pPr>
        <w:pStyle w:val="BodyText"/>
        <w:spacing w:before="1"/>
      </w:pPr>
    </w:p>
    <w:p w:rsidR="009826AF" w:rsidRDefault="00577A3E">
      <w:pPr>
        <w:pStyle w:val="BodyText"/>
        <w:ind w:left="1660" w:right="262"/>
      </w:pPr>
      <w:r>
        <w:t>The decision making process for the design and management of the portfolio should incorporate some or all of the following factors:</w:t>
      </w:r>
    </w:p>
    <w:p w:rsidR="009826AF" w:rsidRDefault="009826AF">
      <w:pPr>
        <w:pStyle w:val="BodyText"/>
        <w:spacing w:before="5"/>
      </w:pPr>
    </w:p>
    <w:p w:rsidR="009826AF" w:rsidRDefault="00577A3E">
      <w:pPr>
        <w:pStyle w:val="Heading1"/>
        <w:spacing w:line="275" w:lineRule="exact"/>
      </w:pPr>
      <w:r>
        <w:rPr>
          <w:u w:val="thick"/>
        </w:rPr>
        <w:t>Types of Risk :</w:t>
      </w:r>
    </w:p>
    <w:p w:rsidR="009826AF" w:rsidRDefault="00577A3E">
      <w:pPr>
        <w:pStyle w:val="ListParagraph"/>
        <w:numPr>
          <w:ilvl w:val="2"/>
          <w:numId w:val="6"/>
        </w:numPr>
        <w:tabs>
          <w:tab w:val="left" w:pos="2380"/>
          <w:tab w:val="left" w:pos="2381"/>
        </w:tabs>
        <w:spacing w:line="292" w:lineRule="exact"/>
        <w:rPr>
          <w:sz w:val="24"/>
        </w:rPr>
      </w:pPr>
      <w:r>
        <w:rPr>
          <w:sz w:val="24"/>
        </w:rPr>
        <w:t>Credit</w:t>
      </w:r>
      <w:r>
        <w:rPr>
          <w:spacing w:val="-1"/>
          <w:sz w:val="24"/>
        </w:rPr>
        <w:t xml:space="preserve"> </w:t>
      </w:r>
      <w:r>
        <w:rPr>
          <w:sz w:val="24"/>
        </w:rPr>
        <w:t>Risk</w:t>
      </w:r>
    </w:p>
    <w:p w:rsidR="009826AF" w:rsidRDefault="00577A3E">
      <w:pPr>
        <w:pStyle w:val="ListParagraph"/>
        <w:numPr>
          <w:ilvl w:val="2"/>
          <w:numId w:val="6"/>
        </w:numPr>
        <w:tabs>
          <w:tab w:val="left" w:pos="2380"/>
          <w:tab w:val="left" w:pos="2381"/>
        </w:tabs>
        <w:rPr>
          <w:sz w:val="24"/>
        </w:rPr>
      </w:pPr>
      <w:r>
        <w:rPr>
          <w:sz w:val="24"/>
        </w:rPr>
        <w:t>Marketability Risk</w:t>
      </w:r>
      <w:r>
        <w:rPr>
          <w:spacing w:val="-6"/>
          <w:sz w:val="24"/>
        </w:rPr>
        <w:t xml:space="preserve"> </w:t>
      </w:r>
      <w:r>
        <w:rPr>
          <w:sz w:val="24"/>
        </w:rPr>
        <w:t>(liquidity)</w:t>
      </w:r>
    </w:p>
    <w:p w:rsidR="009826AF" w:rsidRDefault="00577A3E">
      <w:pPr>
        <w:pStyle w:val="ListParagraph"/>
        <w:numPr>
          <w:ilvl w:val="2"/>
          <w:numId w:val="6"/>
        </w:numPr>
        <w:tabs>
          <w:tab w:val="left" w:pos="2380"/>
          <w:tab w:val="left" w:pos="2381"/>
        </w:tabs>
        <w:rPr>
          <w:sz w:val="24"/>
        </w:rPr>
      </w:pPr>
      <w:r>
        <w:rPr>
          <w:sz w:val="24"/>
        </w:rPr>
        <w:t>Interest Rate or Market Value</w:t>
      </w:r>
      <w:r>
        <w:rPr>
          <w:spacing w:val="-1"/>
          <w:sz w:val="24"/>
        </w:rPr>
        <w:t xml:space="preserve"> </w:t>
      </w:r>
      <w:r>
        <w:rPr>
          <w:sz w:val="24"/>
        </w:rPr>
        <w:t>Risk</w:t>
      </w:r>
    </w:p>
    <w:p w:rsidR="009826AF" w:rsidRDefault="00577A3E">
      <w:pPr>
        <w:pStyle w:val="ListParagraph"/>
        <w:numPr>
          <w:ilvl w:val="2"/>
          <w:numId w:val="6"/>
        </w:numPr>
        <w:tabs>
          <w:tab w:val="left" w:pos="2380"/>
          <w:tab w:val="left" w:pos="2381"/>
        </w:tabs>
        <w:rPr>
          <w:sz w:val="24"/>
        </w:rPr>
      </w:pPr>
      <w:r>
        <w:rPr>
          <w:sz w:val="24"/>
        </w:rPr>
        <w:t>Diversity of Assets/Avoidance of</w:t>
      </w:r>
      <w:r>
        <w:rPr>
          <w:spacing w:val="-7"/>
          <w:sz w:val="24"/>
        </w:rPr>
        <w:t xml:space="preserve"> </w:t>
      </w:r>
      <w:r>
        <w:rPr>
          <w:sz w:val="24"/>
        </w:rPr>
        <w:t>Concentration</w:t>
      </w:r>
    </w:p>
    <w:p w:rsidR="009826AF" w:rsidRDefault="009826AF">
      <w:pPr>
        <w:pStyle w:val="BodyText"/>
        <w:spacing w:before="4"/>
      </w:pPr>
    </w:p>
    <w:p w:rsidR="009826AF" w:rsidRDefault="00577A3E">
      <w:pPr>
        <w:pStyle w:val="Heading1"/>
        <w:spacing w:line="275" w:lineRule="exact"/>
      </w:pPr>
      <w:r>
        <w:rPr>
          <w:u w:val="thick"/>
        </w:rPr>
        <w:t>Duration &amp; Weighted Average Life of Securities:</w:t>
      </w:r>
    </w:p>
    <w:p w:rsidR="009826AF" w:rsidRDefault="00577A3E">
      <w:pPr>
        <w:pStyle w:val="ListParagraph"/>
        <w:numPr>
          <w:ilvl w:val="2"/>
          <w:numId w:val="6"/>
        </w:numPr>
        <w:tabs>
          <w:tab w:val="left" w:pos="2380"/>
          <w:tab w:val="left" w:pos="2381"/>
        </w:tabs>
        <w:spacing w:line="292" w:lineRule="exact"/>
        <w:rPr>
          <w:sz w:val="24"/>
        </w:rPr>
      </w:pPr>
      <w:r>
        <w:rPr>
          <w:sz w:val="24"/>
        </w:rPr>
        <w:t>Cash Flow</w:t>
      </w:r>
      <w:r>
        <w:rPr>
          <w:spacing w:val="-1"/>
          <w:sz w:val="24"/>
        </w:rPr>
        <w:t xml:space="preserve"> </w:t>
      </w:r>
      <w:r>
        <w:rPr>
          <w:sz w:val="24"/>
        </w:rPr>
        <w:t>Management</w:t>
      </w:r>
    </w:p>
    <w:p w:rsidR="009826AF" w:rsidRDefault="00577A3E">
      <w:pPr>
        <w:pStyle w:val="ListParagraph"/>
        <w:numPr>
          <w:ilvl w:val="2"/>
          <w:numId w:val="6"/>
        </w:numPr>
        <w:tabs>
          <w:tab w:val="left" w:pos="2380"/>
          <w:tab w:val="left" w:pos="2381"/>
        </w:tabs>
        <w:spacing w:before="2" w:line="237" w:lineRule="auto"/>
        <w:ind w:right="302"/>
        <w:rPr>
          <w:sz w:val="24"/>
        </w:rPr>
      </w:pPr>
      <w:r>
        <w:rPr>
          <w:sz w:val="24"/>
        </w:rPr>
        <w:t>Flexibility to Adjust &amp; Project Cash Flows in Changing Interest</w:t>
      </w:r>
      <w:r>
        <w:rPr>
          <w:spacing w:val="-19"/>
          <w:sz w:val="24"/>
        </w:rPr>
        <w:t xml:space="preserve"> </w:t>
      </w:r>
      <w:r>
        <w:rPr>
          <w:sz w:val="24"/>
        </w:rPr>
        <w:t>Rate Environments</w:t>
      </w:r>
    </w:p>
    <w:p w:rsidR="009826AF" w:rsidRDefault="009826AF">
      <w:pPr>
        <w:pStyle w:val="BodyText"/>
        <w:spacing w:before="5"/>
      </w:pPr>
    </w:p>
    <w:p w:rsidR="009826AF" w:rsidRDefault="00577A3E">
      <w:pPr>
        <w:pStyle w:val="Heading1"/>
        <w:spacing w:line="275" w:lineRule="exact"/>
      </w:pPr>
      <w:r>
        <w:rPr>
          <w:u w:val="thick"/>
        </w:rPr>
        <w:t>Call Risk:</w:t>
      </w:r>
    </w:p>
    <w:p w:rsidR="009826AF" w:rsidRDefault="00577A3E">
      <w:pPr>
        <w:pStyle w:val="ListParagraph"/>
        <w:numPr>
          <w:ilvl w:val="2"/>
          <w:numId w:val="6"/>
        </w:numPr>
        <w:tabs>
          <w:tab w:val="left" w:pos="2380"/>
          <w:tab w:val="left" w:pos="2381"/>
        </w:tabs>
        <w:spacing w:before="1" w:line="237" w:lineRule="auto"/>
        <w:ind w:right="783"/>
        <w:rPr>
          <w:sz w:val="24"/>
        </w:rPr>
      </w:pPr>
      <w:r>
        <w:rPr>
          <w:sz w:val="24"/>
        </w:rPr>
        <w:t>Ability to Monitor &amp; Manage Call Risk in Various Interest</w:t>
      </w:r>
      <w:r>
        <w:rPr>
          <w:spacing w:val="-16"/>
          <w:sz w:val="24"/>
        </w:rPr>
        <w:t xml:space="preserve"> </w:t>
      </w:r>
      <w:r>
        <w:rPr>
          <w:sz w:val="24"/>
        </w:rPr>
        <w:t>Rate Environments</w:t>
      </w:r>
    </w:p>
    <w:p w:rsidR="009826AF" w:rsidRDefault="00577A3E">
      <w:pPr>
        <w:pStyle w:val="ListParagraph"/>
        <w:numPr>
          <w:ilvl w:val="2"/>
          <w:numId w:val="6"/>
        </w:numPr>
        <w:tabs>
          <w:tab w:val="left" w:pos="2380"/>
          <w:tab w:val="left" w:pos="2381"/>
        </w:tabs>
        <w:spacing w:before="2" w:line="240" w:lineRule="auto"/>
        <w:rPr>
          <w:sz w:val="24"/>
        </w:rPr>
      </w:pPr>
      <w:r>
        <w:rPr>
          <w:sz w:val="24"/>
        </w:rPr>
        <w:t>Monitoring Convexity Changes (both positive &amp;</w:t>
      </w:r>
      <w:r>
        <w:rPr>
          <w:spacing w:val="-11"/>
          <w:sz w:val="24"/>
        </w:rPr>
        <w:t xml:space="preserve"> </w:t>
      </w:r>
      <w:r>
        <w:rPr>
          <w:sz w:val="24"/>
        </w:rPr>
        <w:t>negative)</w:t>
      </w:r>
    </w:p>
    <w:p w:rsidR="009826AF" w:rsidRDefault="009826AF">
      <w:pPr>
        <w:pStyle w:val="BodyText"/>
        <w:spacing w:before="1"/>
      </w:pPr>
    </w:p>
    <w:p w:rsidR="009826AF" w:rsidRDefault="00577A3E">
      <w:pPr>
        <w:pStyle w:val="Heading1"/>
        <w:spacing w:before="1" w:line="275" w:lineRule="exact"/>
      </w:pPr>
      <w:r>
        <w:rPr>
          <w:u w:val="thick"/>
        </w:rPr>
        <w:t>Liquidity:</w:t>
      </w:r>
    </w:p>
    <w:p w:rsidR="009826AF" w:rsidRDefault="00577A3E">
      <w:pPr>
        <w:pStyle w:val="ListParagraph"/>
        <w:numPr>
          <w:ilvl w:val="2"/>
          <w:numId w:val="6"/>
        </w:numPr>
        <w:tabs>
          <w:tab w:val="left" w:pos="2380"/>
          <w:tab w:val="left" w:pos="2381"/>
        </w:tabs>
        <w:spacing w:before="1" w:line="237" w:lineRule="auto"/>
        <w:ind w:right="485"/>
        <w:rPr>
          <w:sz w:val="24"/>
        </w:rPr>
      </w:pPr>
      <w:r>
        <w:rPr>
          <w:sz w:val="24"/>
        </w:rPr>
        <w:t>Insuring Adequate Cash Flow for Operating Needs Consistent with Maximizing</w:t>
      </w:r>
      <w:r>
        <w:rPr>
          <w:spacing w:val="-3"/>
          <w:sz w:val="24"/>
        </w:rPr>
        <w:t xml:space="preserve"> </w:t>
      </w:r>
      <w:r>
        <w:rPr>
          <w:sz w:val="24"/>
        </w:rPr>
        <w:t>Yield</w:t>
      </w:r>
    </w:p>
    <w:p w:rsidR="009826AF" w:rsidRDefault="009826AF">
      <w:pPr>
        <w:pStyle w:val="BodyText"/>
        <w:spacing w:before="5"/>
      </w:pPr>
    </w:p>
    <w:p w:rsidR="009826AF" w:rsidRDefault="00577A3E">
      <w:pPr>
        <w:pStyle w:val="Heading1"/>
        <w:spacing w:line="275" w:lineRule="exact"/>
      </w:pPr>
      <w:r>
        <w:rPr>
          <w:u w:val="thick"/>
        </w:rPr>
        <w:t>Evaluation of Eligible Securities:</w:t>
      </w:r>
    </w:p>
    <w:p w:rsidR="009826AF" w:rsidRDefault="00577A3E">
      <w:pPr>
        <w:pStyle w:val="ListParagraph"/>
        <w:numPr>
          <w:ilvl w:val="2"/>
          <w:numId w:val="6"/>
        </w:numPr>
        <w:tabs>
          <w:tab w:val="left" w:pos="2380"/>
          <w:tab w:val="left" w:pos="2381"/>
        </w:tabs>
        <w:rPr>
          <w:sz w:val="24"/>
        </w:rPr>
      </w:pPr>
      <w:r>
        <w:rPr>
          <w:sz w:val="24"/>
        </w:rPr>
        <w:t>Investment Grade A- or higher on Fixed Income</w:t>
      </w:r>
      <w:r>
        <w:rPr>
          <w:spacing w:val="-1"/>
          <w:sz w:val="24"/>
        </w:rPr>
        <w:t xml:space="preserve"> </w:t>
      </w:r>
      <w:r>
        <w:rPr>
          <w:sz w:val="24"/>
        </w:rPr>
        <w:t>Securities</w:t>
      </w:r>
    </w:p>
    <w:p w:rsidR="009826AF" w:rsidRDefault="00577A3E">
      <w:pPr>
        <w:pStyle w:val="ListParagraph"/>
        <w:numPr>
          <w:ilvl w:val="2"/>
          <w:numId w:val="6"/>
        </w:numPr>
        <w:tabs>
          <w:tab w:val="left" w:pos="2380"/>
          <w:tab w:val="left" w:pos="2381"/>
        </w:tabs>
        <w:spacing w:before="4" w:line="237" w:lineRule="auto"/>
        <w:ind w:right="1170"/>
        <w:rPr>
          <w:sz w:val="24"/>
        </w:rPr>
      </w:pPr>
      <w:r>
        <w:rPr>
          <w:sz w:val="24"/>
        </w:rPr>
        <w:t>Committee will review any securities that have fallen</w:t>
      </w:r>
      <w:r>
        <w:rPr>
          <w:spacing w:val="-14"/>
          <w:sz w:val="24"/>
        </w:rPr>
        <w:t xml:space="preserve"> </w:t>
      </w:r>
      <w:r>
        <w:rPr>
          <w:sz w:val="24"/>
        </w:rPr>
        <w:t>below Investment</w:t>
      </w:r>
      <w:r>
        <w:rPr>
          <w:spacing w:val="-1"/>
          <w:sz w:val="24"/>
        </w:rPr>
        <w:t xml:space="preserve"> </w:t>
      </w:r>
      <w:r>
        <w:rPr>
          <w:sz w:val="24"/>
        </w:rPr>
        <w:t>Grade.</w:t>
      </w:r>
    </w:p>
    <w:p w:rsidR="009826AF" w:rsidRDefault="009826AF">
      <w:pPr>
        <w:spacing w:line="237" w:lineRule="auto"/>
        <w:rPr>
          <w:sz w:val="24"/>
        </w:rPr>
        <w:sectPr w:rsidR="009826AF">
          <w:footerReference w:type="default" r:id="rId7"/>
          <w:type w:val="continuous"/>
          <w:pgSz w:w="12240" w:h="15840"/>
          <w:pgMar w:top="1360" w:right="1340" w:bottom="1620" w:left="1580" w:header="720" w:footer="1435" w:gutter="0"/>
          <w:pgNumType w:start="1"/>
          <w:cols w:space="720"/>
        </w:sectPr>
      </w:pPr>
    </w:p>
    <w:p w:rsidR="009826AF" w:rsidRDefault="00577A3E">
      <w:pPr>
        <w:pStyle w:val="Heading1"/>
        <w:spacing w:before="76" w:line="275" w:lineRule="exact"/>
      </w:pPr>
      <w:r>
        <w:rPr>
          <w:u w:val="thick"/>
        </w:rPr>
        <w:lastRenderedPageBreak/>
        <w:t>Appropriate Monitoring Controls &amp; Report Processes:</w:t>
      </w:r>
    </w:p>
    <w:p w:rsidR="009826AF" w:rsidRDefault="00577A3E">
      <w:pPr>
        <w:pStyle w:val="ListParagraph"/>
        <w:numPr>
          <w:ilvl w:val="2"/>
          <w:numId w:val="6"/>
        </w:numPr>
        <w:tabs>
          <w:tab w:val="left" w:pos="2380"/>
          <w:tab w:val="left" w:pos="2381"/>
        </w:tabs>
        <w:spacing w:line="292" w:lineRule="exact"/>
        <w:rPr>
          <w:sz w:val="24"/>
        </w:rPr>
      </w:pPr>
      <w:r>
        <w:rPr>
          <w:sz w:val="24"/>
        </w:rPr>
        <w:t>Periodic Investment Committee</w:t>
      </w:r>
      <w:r>
        <w:rPr>
          <w:spacing w:val="-1"/>
          <w:sz w:val="24"/>
        </w:rPr>
        <w:t xml:space="preserve"> </w:t>
      </w:r>
      <w:r>
        <w:rPr>
          <w:sz w:val="24"/>
        </w:rPr>
        <w:t>Review</w:t>
      </w:r>
    </w:p>
    <w:p w:rsidR="009826AF" w:rsidRDefault="00577A3E">
      <w:pPr>
        <w:pStyle w:val="ListParagraph"/>
        <w:numPr>
          <w:ilvl w:val="2"/>
          <w:numId w:val="6"/>
        </w:numPr>
        <w:tabs>
          <w:tab w:val="left" w:pos="2380"/>
          <w:tab w:val="left" w:pos="2381"/>
        </w:tabs>
        <w:rPr>
          <w:sz w:val="24"/>
        </w:rPr>
      </w:pPr>
      <w:r>
        <w:rPr>
          <w:sz w:val="24"/>
        </w:rPr>
        <w:t>Regular Investment Manager Meetings to Evaluate</w:t>
      </w:r>
      <w:r>
        <w:rPr>
          <w:spacing w:val="-1"/>
          <w:sz w:val="24"/>
        </w:rPr>
        <w:t xml:space="preserve"> </w:t>
      </w:r>
      <w:r>
        <w:rPr>
          <w:sz w:val="24"/>
        </w:rPr>
        <w:t>Strategy</w:t>
      </w:r>
    </w:p>
    <w:p w:rsidR="009826AF" w:rsidRDefault="009826AF">
      <w:pPr>
        <w:pStyle w:val="BodyText"/>
        <w:rPr>
          <w:sz w:val="28"/>
        </w:rPr>
      </w:pPr>
    </w:p>
    <w:p w:rsidR="009826AF" w:rsidRDefault="00577A3E">
      <w:pPr>
        <w:pStyle w:val="Heading1"/>
        <w:numPr>
          <w:ilvl w:val="1"/>
          <w:numId w:val="6"/>
        </w:numPr>
        <w:tabs>
          <w:tab w:val="left" w:pos="1660"/>
          <w:tab w:val="left" w:pos="1661"/>
        </w:tabs>
        <w:spacing w:before="234"/>
      </w:pPr>
      <w:r>
        <w:t>Authority</w:t>
      </w:r>
    </w:p>
    <w:p w:rsidR="009826AF" w:rsidRDefault="009826AF">
      <w:pPr>
        <w:pStyle w:val="BodyText"/>
        <w:spacing w:before="3"/>
        <w:rPr>
          <w:b/>
          <w:sz w:val="23"/>
        </w:rPr>
      </w:pPr>
    </w:p>
    <w:p w:rsidR="009826AF" w:rsidRDefault="00577A3E">
      <w:pPr>
        <w:pStyle w:val="BodyText"/>
        <w:spacing w:before="1"/>
        <w:ind w:left="1660" w:right="188"/>
      </w:pPr>
      <w:r>
        <w:t>The investment policy &amp; any modifications thereto shall be reviewed and adopted annually by resolution of the Investment Committee. This committee will have ultimate authority over the supervision of the investment responsibility.</w:t>
      </w:r>
    </w:p>
    <w:p w:rsidR="009826AF" w:rsidRDefault="009826AF">
      <w:pPr>
        <w:pStyle w:val="BodyText"/>
        <w:spacing w:before="11"/>
        <w:rPr>
          <w:sz w:val="23"/>
        </w:rPr>
      </w:pPr>
    </w:p>
    <w:p w:rsidR="009826AF" w:rsidRDefault="00577A3E">
      <w:pPr>
        <w:pStyle w:val="BodyText"/>
        <w:ind w:left="1660" w:right="161"/>
      </w:pPr>
      <w:r>
        <w:t>The committee shall meet periodically; no less than once a year. The agenda for the meeting should include the following:</w:t>
      </w:r>
    </w:p>
    <w:p w:rsidR="009826AF" w:rsidRDefault="00577A3E">
      <w:pPr>
        <w:pStyle w:val="ListParagraph"/>
        <w:numPr>
          <w:ilvl w:val="2"/>
          <w:numId w:val="6"/>
        </w:numPr>
        <w:tabs>
          <w:tab w:val="left" w:pos="2380"/>
          <w:tab w:val="left" w:pos="2381"/>
        </w:tabs>
        <w:spacing w:before="3" w:line="240" w:lineRule="auto"/>
        <w:rPr>
          <w:sz w:val="24"/>
        </w:rPr>
      </w:pPr>
      <w:r>
        <w:rPr>
          <w:sz w:val="24"/>
        </w:rPr>
        <w:t>Review security purchases &amp; sales for the</w:t>
      </w:r>
      <w:r>
        <w:rPr>
          <w:spacing w:val="-11"/>
          <w:sz w:val="24"/>
        </w:rPr>
        <w:t xml:space="preserve"> </w:t>
      </w:r>
      <w:r>
        <w:rPr>
          <w:sz w:val="24"/>
        </w:rPr>
        <w:t>quarter</w:t>
      </w:r>
    </w:p>
    <w:p w:rsidR="009826AF" w:rsidRDefault="00577A3E">
      <w:pPr>
        <w:pStyle w:val="ListParagraph"/>
        <w:numPr>
          <w:ilvl w:val="2"/>
          <w:numId w:val="6"/>
        </w:numPr>
        <w:tabs>
          <w:tab w:val="left" w:pos="2380"/>
          <w:tab w:val="left" w:pos="2381"/>
        </w:tabs>
        <w:spacing w:before="1"/>
        <w:rPr>
          <w:sz w:val="24"/>
        </w:rPr>
      </w:pPr>
      <w:r>
        <w:rPr>
          <w:sz w:val="24"/>
        </w:rPr>
        <w:t>Review portfolio’s yield, duration and</w:t>
      </w:r>
      <w:r>
        <w:rPr>
          <w:spacing w:val="2"/>
          <w:sz w:val="24"/>
        </w:rPr>
        <w:t xml:space="preserve"> </w:t>
      </w:r>
      <w:r>
        <w:rPr>
          <w:sz w:val="24"/>
        </w:rPr>
        <w:t>return</w:t>
      </w:r>
    </w:p>
    <w:p w:rsidR="009826AF" w:rsidRDefault="00577A3E">
      <w:pPr>
        <w:pStyle w:val="ListParagraph"/>
        <w:numPr>
          <w:ilvl w:val="2"/>
          <w:numId w:val="6"/>
        </w:numPr>
        <w:tabs>
          <w:tab w:val="left" w:pos="2380"/>
          <w:tab w:val="left" w:pos="2381"/>
        </w:tabs>
        <w:rPr>
          <w:sz w:val="24"/>
        </w:rPr>
      </w:pPr>
      <w:r>
        <w:rPr>
          <w:sz w:val="24"/>
        </w:rPr>
        <w:t>Review of investments below policy investment</w:t>
      </w:r>
      <w:r>
        <w:rPr>
          <w:spacing w:val="-7"/>
          <w:sz w:val="24"/>
        </w:rPr>
        <w:t xml:space="preserve"> </w:t>
      </w:r>
      <w:r>
        <w:rPr>
          <w:sz w:val="24"/>
        </w:rPr>
        <w:t>grade</w:t>
      </w:r>
    </w:p>
    <w:p w:rsidR="009826AF" w:rsidRDefault="00577A3E">
      <w:pPr>
        <w:pStyle w:val="ListParagraph"/>
        <w:numPr>
          <w:ilvl w:val="2"/>
          <w:numId w:val="6"/>
        </w:numPr>
        <w:tabs>
          <w:tab w:val="left" w:pos="2380"/>
          <w:tab w:val="left" w:pos="2381"/>
        </w:tabs>
        <w:spacing w:before="2" w:line="237" w:lineRule="auto"/>
        <w:ind w:right="1227"/>
        <w:rPr>
          <w:sz w:val="24"/>
        </w:rPr>
      </w:pPr>
      <w:r>
        <w:rPr>
          <w:sz w:val="24"/>
        </w:rPr>
        <w:t>Review of management reports for each portfolio</w:t>
      </w:r>
      <w:r>
        <w:rPr>
          <w:spacing w:val="-6"/>
          <w:sz w:val="24"/>
        </w:rPr>
        <w:t xml:space="preserve"> </w:t>
      </w:r>
      <w:r>
        <w:rPr>
          <w:sz w:val="24"/>
        </w:rPr>
        <w:t>including comparisons with maturity &amp; duration</w:t>
      </w:r>
      <w:r>
        <w:rPr>
          <w:spacing w:val="-4"/>
          <w:sz w:val="24"/>
        </w:rPr>
        <w:t xml:space="preserve"> </w:t>
      </w:r>
      <w:r>
        <w:rPr>
          <w:sz w:val="24"/>
        </w:rPr>
        <w:t>targets</w:t>
      </w:r>
    </w:p>
    <w:p w:rsidR="009826AF" w:rsidRDefault="00577A3E">
      <w:pPr>
        <w:pStyle w:val="ListParagraph"/>
        <w:numPr>
          <w:ilvl w:val="2"/>
          <w:numId w:val="6"/>
        </w:numPr>
        <w:tabs>
          <w:tab w:val="left" w:pos="2380"/>
          <w:tab w:val="left" w:pos="2381"/>
        </w:tabs>
        <w:spacing w:before="2"/>
        <w:rPr>
          <w:sz w:val="24"/>
        </w:rPr>
      </w:pPr>
      <w:r>
        <w:rPr>
          <w:sz w:val="24"/>
        </w:rPr>
        <w:t>An Economic</w:t>
      </w:r>
      <w:r>
        <w:rPr>
          <w:spacing w:val="-2"/>
          <w:sz w:val="24"/>
        </w:rPr>
        <w:t xml:space="preserve"> </w:t>
      </w:r>
      <w:r>
        <w:rPr>
          <w:sz w:val="24"/>
        </w:rPr>
        <w:t>Outlook</w:t>
      </w:r>
    </w:p>
    <w:p w:rsidR="009826AF" w:rsidRDefault="00577A3E">
      <w:pPr>
        <w:pStyle w:val="ListParagraph"/>
        <w:numPr>
          <w:ilvl w:val="2"/>
          <w:numId w:val="6"/>
        </w:numPr>
        <w:tabs>
          <w:tab w:val="left" w:pos="2380"/>
          <w:tab w:val="left" w:pos="2381"/>
        </w:tabs>
        <w:rPr>
          <w:sz w:val="24"/>
        </w:rPr>
      </w:pPr>
      <w:r>
        <w:rPr>
          <w:sz w:val="24"/>
        </w:rPr>
        <w:t>Proposed investment plan for the next</w:t>
      </w:r>
      <w:r>
        <w:rPr>
          <w:spacing w:val="-3"/>
          <w:sz w:val="24"/>
        </w:rPr>
        <w:t xml:space="preserve"> </w:t>
      </w:r>
      <w:r>
        <w:rPr>
          <w:sz w:val="24"/>
        </w:rPr>
        <w:t>quarter</w:t>
      </w:r>
    </w:p>
    <w:p w:rsidR="009826AF" w:rsidRDefault="00577A3E">
      <w:pPr>
        <w:pStyle w:val="ListParagraph"/>
        <w:numPr>
          <w:ilvl w:val="2"/>
          <w:numId w:val="6"/>
        </w:numPr>
        <w:tabs>
          <w:tab w:val="left" w:pos="2380"/>
          <w:tab w:val="left" w:pos="2381"/>
        </w:tabs>
        <w:rPr>
          <w:sz w:val="24"/>
        </w:rPr>
      </w:pPr>
      <w:r>
        <w:rPr>
          <w:sz w:val="24"/>
        </w:rPr>
        <w:t>Other Agenda Items deemed appropriate</w:t>
      </w:r>
    </w:p>
    <w:p w:rsidR="009826AF" w:rsidRDefault="009826AF">
      <w:pPr>
        <w:pStyle w:val="BodyText"/>
        <w:spacing w:before="10"/>
        <w:rPr>
          <w:sz w:val="23"/>
        </w:rPr>
      </w:pPr>
    </w:p>
    <w:p w:rsidR="009826AF" w:rsidRDefault="00577A3E">
      <w:pPr>
        <w:pStyle w:val="BodyText"/>
        <w:spacing w:before="1"/>
        <w:ind w:left="1660" w:right="112"/>
      </w:pPr>
      <w:r>
        <w:t>On occasion, changing market conditions may require prudent investment decisions that may deviate from current operating guidelines. Investments made outside these guidelines must be agreed upon by at least two members of the Investment Manager staff. Deviations will be reported to the Investment Committee at the next regularly scheduled</w:t>
      </w:r>
      <w:r>
        <w:rPr>
          <w:spacing w:val="-8"/>
        </w:rPr>
        <w:t xml:space="preserve"> </w:t>
      </w:r>
      <w:r>
        <w:t>meeting.</w:t>
      </w:r>
    </w:p>
    <w:p w:rsidR="009826AF" w:rsidRDefault="009826AF">
      <w:pPr>
        <w:pStyle w:val="BodyText"/>
        <w:rPr>
          <w:sz w:val="26"/>
        </w:rPr>
      </w:pPr>
    </w:p>
    <w:p w:rsidR="009826AF" w:rsidRDefault="009826AF">
      <w:pPr>
        <w:pStyle w:val="BodyText"/>
        <w:spacing w:before="4"/>
        <w:rPr>
          <w:sz w:val="22"/>
        </w:rPr>
      </w:pPr>
    </w:p>
    <w:p w:rsidR="009826AF" w:rsidRDefault="00577A3E">
      <w:pPr>
        <w:pStyle w:val="Heading1"/>
        <w:numPr>
          <w:ilvl w:val="1"/>
          <w:numId w:val="6"/>
        </w:numPr>
        <w:tabs>
          <w:tab w:val="left" w:pos="1660"/>
          <w:tab w:val="left" w:pos="1661"/>
        </w:tabs>
        <w:spacing w:before="1" w:line="465" w:lineRule="auto"/>
        <w:ind w:right="4729"/>
      </w:pPr>
      <w:r>
        <w:t>General Portfolio</w:t>
      </w:r>
      <w:r>
        <w:rPr>
          <w:spacing w:val="-9"/>
        </w:rPr>
        <w:t xml:space="preserve"> </w:t>
      </w:r>
      <w:r>
        <w:t>Objectives</w:t>
      </w:r>
      <w:r>
        <w:rPr>
          <w:u w:val="thick"/>
        </w:rPr>
        <w:t xml:space="preserve"> Return:</w:t>
      </w:r>
    </w:p>
    <w:p w:rsidR="009826AF" w:rsidRDefault="00577A3E">
      <w:pPr>
        <w:pStyle w:val="BodyText"/>
        <w:spacing w:before="10"/>
        <w:ind w:left="1660" w:right="161"/>
      </w:pPr>
      <w:r>
        <w:t>The objective is to earn a return equal to the actuarial required return; currently 7.0%.</w:t>
      </w:r>
    </w:p>
    <w:p w:rsidR="009826AF" w:rsidRDefault="009826AF">
      <w:pPr>
        <w:pStyle w:val="BodyText"/>
        <w:spacing w:before="5"/>
      </w:pPr>
    </w:p>
    <w:p w:rsidR="009826AF" w:rsidRDefault="00577A3E">
      <w:pPr>
        <w:pStyle w:val="Heading1"/>
      </w:pPr>
      <w:r>
        <w:rPr>
          <w:u w:val="thick"/>
        </w:rPr>
        <w:t>Benchmarks:</w:t>
      </w:r>
    </w:p>
    <w:p w:rsidR="009826AF" w:rsidRDefault="009826AF">
      <w:pPr>
        <w:pStyle w:val="BodyText"/>
        <w:spacing w:before="9"/>
        <w:rPr>
          <w:b/>
          <w:sz w:val="15"/>
        </w:rPr>
      </w:pPr>
    </w:p>
    <w:p w:rsidR="009826AF" w:rsidRDefault="00577A3E">
      <w:pPr>
        <w:pStyle w:val="BodyText"/>
        <w:spacing w:before="90"/>
        <w:ind w:left="1660" w:right="102"/>
      </w:pPr>
      <w:r>
        <w:t>In order to measure the performance of the Investment Manager, the</w:t>
      </w:r>
      <w:r>
        <w:rPr>
          <w:spacing w:val="-13"/>
        </w:rPr>
        <w:t xml:space="preserve"> </w:t>
      </w:r>
      <w:r>
        <w:t>following indices shall be used (the weighting of the indices will vary over time to reflect the manager allocation</w:t>
      </w:r>
      <w:r>
        <w:rPr>
          <w:spacing w:val="-2"/>
        </w:rPr>
        <w:t xml:space="preserve"> </w:t>
      </w:r>
      <w:r>
        <w:t>decisions):</w:t>
      </w:r>
    </w:p>
    <w:p w:rsidR="009826AF" w:rsidRDefault="009826AF">
      <w:pPr>
        <w:pStyle w:val="BodyText"/>
      </w:pPr>
    </w:p>
    <w:p w:rsidR="009826AF" w:rsidRDefault="00577A3E">
      <w:pPr>
        <w:pStyle w:val="BodyText"/>
        <w:tabs>
          <w:tab w:val="left" w:pos="3820"/>
        </w:tabs>
        <w:ind w:left="1660" w:right="1204"/>
      </w:pPr>
      <w:r>
        <w:t>Fixed Income</w:t>
      </w:r>
      <w:r>
        <w:tab/>
        <w:t>- Merrill Lynch US Corp &amp; Gov’t 7-10 YRS Cash</w:t>
      </w:r>
      <w:r>
        <w:rPr>
          <w:spacing w:val="-1"/>
        </w:rPr>
        <w:t xml:space="preserve"> </w:t>
      </w:r>
      <w:r>
        <w:t>Equivalents</w:t>
      </w:r>
      <w:r>
        <w:tab/>
        <w:t>- Merrill Lynch US TSY Bills 0-3</w:t>
      </w:r>
      <w:r>
        <w:rPr>
          <w:spacing w:val="-4"/>
        </w:rPr>
        <w:t xml:space="preserve"> </w:t>
      </w:r>
      <w:r>
        <w:t>Months</w:t>
      </w:r>
    </w:p>
    <w:p w:rsidR="009826AF" w:rsidRDefault="009826AF">
      <w:pPr>
        <w:sectPr w:rsidR="009826AF">
          <w:pgSz w:w="12240" w:h="15840"/>
          <w:pgMar w:top="1360" w:right="1340" w:bottom="1620" w:left="1580" w:header="0" w:footer="1435" w:gutter="0"/>
          <w:cols w:space="720"/>
        </w:sectPr>
      </w:pPr>
    </w:p>
    <w:p w:rsidR="009826AF" w:rsidRDefault="00577A3E">
      <w:pPr>
        <w:pStyle w:val="BodyText"/>
        <w:tabs>
          <w:tab w:val="left" w:pos="3820"/>
        </w:tabs>
        <w:spacing w:before="72"/>
        <w:ind w:left="1660"/>
      </w:pPr>
      <w:r>
        <w:lastRenderedPageBreak/>
        <w:t>Equities</w:t>
      </w:r>
      <w:r>
        <w:tab/>
        <w:t>- 50% S&amp;P 500</w:t>
      </w:r>
      <w:r>
        <w:rPr>
          <w:spacing w:val="-1"/>
        </w:rPr>
        <w:t xml:space="preserve"> </w:t>
      </w:r>
      <w:r>
        <w:t>Index</w:t>
      </w:r>
    </w:p>
    <w:p w:rsidR="009826AF" w:rsidRDefault="00577A3E">
      <w:pPr>
        <w:pStyle w:val="ListParagraph"/>
        <w:numPr>
          <w:ilvl w:val="0"/>
          <w:numId w:val="5"/>
        </w:numPr>
        <w:tabs>
          <w:tab w:val="left" w:pos="3961"/>
        </w:tabs>
        <w:spacing w:line="240" w:lineRule="auto"/>
        <w:ind w:hanging="139"/>
        <w:rPr>
          <w:sz w:val="24"/>
        </w:rPr>
      </w:pPr>
      <w:r>
        <w:rPr>
          <w:sz w:val="24"/>
        </w:rPr>
        <w:t>25% Russell 2000 Small Cap Index</w:t>
      </w:r>
    </w:p>
    <w:p w:rsidR="009826AF" w:rsidRDefault="00577A3E">
      <w:pPr>
        <w:pStyle w:val="ListParagraph"/>
        <w:numPr>
          <w:ilvl w:val="0"/>
          <w:numId w:val="5"/>
        </w:numPr>
        <w:tabs>
          <w:tab w:val="left" w:pos="3961"/>
        </w:tabs>
        <w:spacing w:line="240" w:lineRule="auto"/>
        <w:ind w:hanging="139"/>
        <w:rPr>
          <w:sz w:val="24"/>
        </w:rPr>
      </w:pPr>
      <w:r>
        <w:rPr>
          <w:sz w:val="24"/>
        </w:rPr>
        <w:t>25% MSCI World</w:t>
      </w:r>
      <w:r>
        <w:rPr>
          <w:spacing w:val="-5"/>
          <w:sz w:val="24"/>
        </w:rPr>
        <w:t xml:space="preserve"> </w:t>
      </w:r>
      <w:r>
        <w:rPr>
          <w:sz w:val="24"/>
        </w:rPr>
        <w:t>Index</w:t>
      </w:r>
    </w:p>
    <w:p w:rsidR="009826AF" w:rsidRDefault="009826AF">
      <w:pPr>
        <w:pStyle w:val="BodyText"/>
        <w:spacing w:before="5"/>
      </w:pPr>
    </w:p>
    <w:p w:rsidR="009826AF" w:rsidRDefault="00577A3E">
      <w:pPr>
        <w:pStyle w:val="Heading1"/>
      </w:pPr>
      <w:r>
        <w:rPr>
          <w:u w:val="thick"/>
        </w:rPr>
        <w:t>Risk:</w:t>
      </w:r>
    </w:p>
    <w:p w:rsidR="009826AF" w:rsidRDefault="009826AF">
      <w:pPr>
        <w:pStyle w:val="BodyText"/>
        <w:spacing w:before="9"/>
        <w:rPr>
          <w:b/>
          <w:sz w:val="15"/>
        </w:rPr>
      </w:pPr>
    </w:p>
    <w:p w:rsidR="009826AF" w:rsidRDefault="00577A3E">
      <w:pPr>
        <w:pStyle w:val="BodyText"/>
        <w:spacing w:before="90"/>
        <w:ind w:left="1660" w:right="533"/>
        <w:jc w:val="both"/>
      </w:pPr>
      <w:r>
        <w:t>The Investment Committee realizes certain risks must be taken in order to meet acceptable return goals; however, the management overview process should be one that addresses the following risks:</w:t>
      </w:r>
    </w:p>
    <w:p w:rsidR="009826AF" w:rsidRDefault="009826AF">
      <w:pPr>
        <w:pStyle w:val="BodyText"/>
        <w:spacing w:before="2"/>
      </w:pPr>
    </w:p>
    <w:p w:rsidR="009826AF" w:rsidRDefault="00577A3E">
      <w:pPr>
        <w:pStyle w:val="ListParagraph"/>
        <w:numPr>
          <w:ilvl w:val="2"/>
          <w:numId w:val="6"/>
        </w:numPr>
        <w:tabs>
          <w:tab w:val="left" w:pos="2380"/>
          <w:tab w:val="left" w:pos="2381"/>
        </w:tabs>
        <w:rPr>
          <w:sz w:val="24"/>
        </w:rPr>
      </w:pPr>
      <w:r>
        <w:rPr>
          <w:sz w:val="24"/>
        </w:rPr>
        <w:t>Credit Risk (unsystematic</w:t>
      </w:r>
      <w:r>
        <w:rPr>
          <w:spacing w:val="-2"/>
          <w:sz w:val="24"/>
        </w:rPr>
        <w:t xml:space="preserve"> </w:t>
      </w:r>
      <w:r>
        <w:rPr>
          <w:sz w:val="24"/>
        </w:rPr>
        <w:t>risk)</w:t>
      </w:r>
    </w:p>
    <w:p w:rsidR="009826AF" w:rsidRDefault="00577A3E">
      <w:pPr>
        <w:pStyle w:val="ListParagraph"/>
        <w:numPr>
          <w:ilvl w:val="2"/>
          <w:numId w:val="6"/>
        </w:numPr>
        <w:tabs>
          <w:tab w:val="left" w:pos="2380"/>
          <w:tab w:val="left" w:pos="2381"/>
        </w:tabs>
        <w:rPr>
          <w:sz w:val="24"/>
        </w:rPr>
      </w:pPr>
      <w:r>
        <w:rPr>
          <w:sz w:val="24"/>
        </w:rPr>
        <w:t>Liquidity</w:t>
      </w:r>
      <w:r>
        <w:rPr>
          <w:spacing w:val="-6"/>
          <w:sz w:val="24"/>
        </w:rPr>
        <w:t xml:space="preserve"> </w:t>
      </w:r>
      <w:r>
        <w:rPr>
          <w:sz w:val="24"/>
        </w:rPr>
        <w:t>Needs</w:t>
      </w:r>
    </w:p>
    <w:p w:rsidR="009826AF" w:rsidRDefault="00577A3E">
      <w:pPr>
        <w:pStyle w:val="ListParagraph"/>
        <w:numPr>
          <w:ilvl w:val="2"/>
          <w:numId w:val="6"/>
        </w:numPr>
        <w:tabs>
          <w:tab w:val="left" w:pos="2380"/>
          <w:tab w:val="left" w:pos="2381"/>
        </w:tabs>
        <w:rPr>
          <w:sz w:val="24"/>
        </w:rPr>
      </w:pPr>
      <w:r>
        <w:rPr>
          <w:sz w:val="24"/>
        </w:rPr>
        <w:t>Interest Rate</w:t>
      </w:r>
      <w:r>
        <w:rPr>
          <w:spacing w:val="-1"/>
          <w:sz w:val="24"/>
        </w:rPr>
        <w:t xml:space="preserve"> </w:t>
      </w:r>
      <w:r>
        <w:rPr>
          <w:sz w:val="24"/>
        </w:rPr>
        <w:t>Risk</w:t>
      </w:r>
    </w:p>
    <w:p w:rsidR="009826AF" w:rsidRDefault="00577A3E">
      <w:pPr>
        <w:pStyle w:val="ListParagraph"/>
        <w:numPr>
          <w:ilvl w:val="2"/>
          <w:numId w:val="6"/>
        </w:numPr>
        <w:tabs>
          <w:tab w:val="left" w:pos="2380"/>
          <w:tab w:val="left" w:pos="2381"/>
        </w:tabs>
        <w:spacing w:line="294" w:lineRule="exact"/>
        <w:rPr>
          <w:sz w:val="24"/>
        </w:rPr>
      </w:pPr>
      <w:r>
        <w:rPr>
          <w:sz w:val="24"/>
        </w:rPr>
        <w:t>Purchasing Power</w:t>
      </w:r>
      <w:r>
        <w:rPr>
          <w:spacing w:val="-3"/>
          <w:sz w:val="24"/>
        </w:rPr>
        <w:t xml:space="preserve"> </w:t>
      </w:r>
      <w:r>
        <w:rPr>
          <w:sz w:val="24"/>
        </w:rPr>
        <w:t>Risk</w:t>
      </w:r>
    </w:p>
    <w:p w:rsidR="009826AF" w:rsidRDefault="00577A3E">
      <w:pPr>
        <w:pStyle w:val="ListParagraph"/>
        <w:numPr>
          <w:ilvl w:val="2"/>
          <w:numId w:val="6"/>
        </w:numPr>
        <w:tabs>
          <w:tab w:val="left" w:pos="2380"/>
          <w:tab w:val="left" w:pos="2381"/>
        </w:tabs>
        <w:spacing w:before="1" w:line="240" w:lineRule="auto"/>
        <w:rPr>
          <w:sz w:val="24"/>
        </w:rPr>
      </w:pPr>
      <w:r>
        <w:rPr>
          <w:sz w:val="24"/>
        </w:rPr>
        <w:t>Market Risk</w:t>
      </w:r>
      <w:r>
        <w:rPr>
          <w:spacing w:val="-1"/>
          <w:sz w:val="24"/>
        </w:rPr>
        <w:t xml:space="preserve"> </w:t>
      </w:r>
      <w:r>
        <w:rPr>
          <w:sz w:val="24"/>
        </w:rPr>
        <w:t>(systematic)</w:t>
      </w:r>
    </w:p>
    <w:p w:rsidR="009826AF" w:rsidRDefault="009826AF">
      <w:pPr>
        <w:pStyle w:val="BodyText"/>
        <w:spacing w:before="3"/>
      </w:pPr>
    </w:p>
    <w:p w:rsidR="009826AF" w:rsidRDefault="00577A3E">
      <w:pPr>
        <w:pStyle w:val="Heading1"/>
        <w:numPr>
          <w:ilvl w:val="1"/>
          <w:numId w:val="6"/>
        </w:numPr>
        <w:tabs>
          <w:tab w:val="left" w:pos="1660"/>
          <w:tab w:val="left" w:pos="1661"/>
        </w:tabs>
        <w:spacing w:before="1" w:line="463" w:lineRule="auto"/>
        <w:ind w:right="5491"/>
      </w:pPr>
      <w:r>
        <w:t>Portfolio Constraints</w:t>
      </w:r>
      <w:r>
        <w:rPr>
          <w:u w:val="thick"/>
        </w:rPr>
        <w:t xml:space="preserve"> Legal:</w:t>
      </w:r>
    </w:p>
    <w:p w:rsidR="009826AF" w:rsidRDefault="00577A3E">
      <w:pPr>
        <w:pStyle w:val="BodyText"/>
        <w:spacing w:before="13"/>
        <w:ind w:left="1660" w:right="454"/>
      </w:pPr>
      <w:r>
        <w:t>All investments made within the portfolio will comply with the laws of the State of Missouri.</w:t>
      </w:r>
    </w:p>
    <w:p w:rsidR="009826AF" w:rsidRDefault="009826AF">
      <w:pPr>
        <w:pStyle w:val="BodyText"/>
        <w:spacing w:before="5"/>
      </w:pPr>
    </w:p>
    <w:p w:rsidR="009826AF" w:rsidRDefault="00577A3E">
      <w:pPr>
        <w:pStyle w:val="Heading1"/>
      </w:pPr>
      <w:r>
        <w:rPr>
          <w:u w:val="thick"/>
        </w:rPr>
        <w:t>Tax:</w:t>
      </w:r>
    </w:p>
    <w:p w:rsidR="009826AF" w:rsidRDefault="009826AF">
      <w:pPr>
        <w:pStyle w:val="BodyText"/>
        <w:spacing w:before="9"/>
        <w:rPr>
          <w:b/>
          <w:sz w:val="15"/>
        </w:rPr>
      </w:pPr>
    </w:p>
    <w:p w:rsidR="009826AF" w:rsidRDefault="00577A3E">
      <w:pPr>
        <w:pStyle w:val="BodyText"/>
        <w:spacing w:before="90"/>
        <w:ind w:left="1660"/>
      </w:pPr>
      <w:r>
        <w:t>There are no tax implications to the State Retiree Welfare Benefit Trust</w:t>
      </w:r>
    </w:p>
    <w:p w:rsidR="009826AF" w:rsidRDefault="009826AF">
      <w:pPr>
        <w:pStyle w:val="BodyText"/>
        <w:spacing w:before="5"/>
      </w:pPr>
    </w:p>
    <w:p w:rsidR="009826AF" w:rsidRDefault="00577A3E">
      <w:pPr>
        <w:pStyle w:val="Heading1"/>
      </w:pPr>
      <w:r>
        <w:rPr>
          <w:u w:val="thick"/>
        </w:rPr>
        <w:t>Time Horizon:</w:t>
      </w:r>
    </w:p>
    <w:p w:rsidR="009826AF" w:rsidRDefault="009826AF">
      <w:pPr>
        <w:pStyle w:val="BodyText"/>
        <w:spacing w:before="9"/>
        <w:rPr>
          <w:b/>
          <w:sz w:val="15"/>
        </w:rPr>
      </w:pPr>
    </w:p>
    <w:p w:rsidR="009826AF" w:rsidRDefault="00577A3E">
      <w:pPr>
        <w:pStyle w:val="BodyText"/>
        <w:spacing w:before="90"/>
        <w:ind w:left="1660" w:right="321"/>
      </w:pPr>
      <w:r>
        <w:t>The time horizon of the portfolio should be measured via duration. The duration of the portfolio should attempt to match the duration of the pension liabilities where possible. The Investment Committee should review significant deviations from this matching process.</w:t>
      </w:r>
    </w:p>
    <w:p w:rsidR="009826AF" w:rsidRDefault="009826AF">
      <w:pPr>
        <w:pStyle w:val="BodyText"/>
        <w:spacing w:before="5"/>
      </w:pPr>
    </w:p>
    <w:p w:rsidR="009826AF" w:rsidRDefault="00577A3E">
      <w:pPr>
        <w:pStyle w:val="Heading1"/>
      </w:pPr>
      <w:r>
        <w:rPr>
          <w:u w:val="thick"/>
        </w:rPr>
        <w:t>Liquidity:</w:t>
      </w:r>
    </w:p>
    <w:p w:rsidR="009826AF" w:rsidRDefault="009826AF">
      <w:pPr>
        <w:pStyle w:val="BodyText"/>
        <w:spacing w:before="9"/>
        <w:rPr>
          <w:b/>
          <w:sz w:val="15"/>
        </w:rPr>
      </w:pPr>
    </w:p>
    <w:p w:rsidR="009826AF" w:rsidRDefault="00577A3E">
      <w:pPr>
        <w:pStyle w:val="BodyText"/>
        <w:spacing w:before="90"/>
        <w:ind w:left="1660" w:right="502"/>
      </w:pPr>
      <w:r>
        <w:t>The portfolio should carry adequate liquidity to meet actuarially estimated cash outflows.</w:t>
      </w:r>
    </w:p>
    <w:p w:rsidR="009826AF" w:rsidRDefault="009826AF">
      <w:pPr>
        <w:pStyle w:val="BodyText"/>
        <w:spacing w:before="5"/>
      </w:pPr>
    </w:p>
    <w:p w:rsidR="009826AF" w:rsidRDefault="00577A3E">
      <w:pPr>
        <w:pStyle w:val="Heading1"/>
      </w:pPr>
      <w:r>
        <w:rPr>
          <w:u w:val="thick"/>
        </w:rPr>
        <w:t>Quality:</w:t>
      </w:r>
    </w:p>
    <w:p w:rsidR="009826AF" w:rsidRDefault="009826AF">
      <w:pPr>
        <w:pStyle w:val="BodyText"/>
        <w:spacing w:before="9"/>
        <w:rPr>
          <w:b/>
          <w:sz w:val="15"/>
        </w:rPr>
      </w:pPr>
    </w:p>
    <w:p w:rsidR="009826AF" w:rsidRDefault="00577A3E">
      <w:pPr>
        <w:pStyle w:val="BodyText"/>
        <w:spacing w:before="90"/>
        <w:ind w:left="1660" w:right="148"/>
      </w:pPr>
      <w:r>
        <w:t>All Fixed Income investments must be rated investment grade A- or greater at time of original purchase.</w:t>
      </w:r>
    </w:p>
    <w:p w:rsidR="009826AF" w:rsidRDefault="009826AF">
      <w:pPr>
        <w:sectPr w:rsidR="009826AF">
          <w:pgSz w:w="12240" w:h="15840"/>
          <w:pgMar w:top="1360" w:right="1340" w:bottom="1620" w:left="1580" w:header="0" w:footer="1435" w:gutter="0"/>
          <w:cols w:space="720"/>
        </w:sectPr>
      </w:pPr>
    </w:p>
    <w:p w:rsidR="009826AF" w:rsidRDefault="009826AF">
      <w:pPr>
        <w:pStyle w:val="BodyText"/>
        <w:spacing w:before="8"/>
        <w:rPr>
          <w:sz w:val="10"/>
        </w:rPr>
      </w:pPr>
    </w:p>
    <w:p w:rsidR="009826AF" w:rsidRDefault="00577A3E">
      <w:pPr>
        <w:pStyle w:val="Heading1"/>
        <w:numPr>
          <w:ilvl w:val="0"/>
          <w:numId w:val="6"/>
        </w:numPr>
        <w:tabs>
          <w:tab w:val="left" w:pos="761"/>
        </w:tabs>
        <w:spacing w:before="90"/>
        <w:ind w:hanging="427"/>
        <w:jc w:val="left"/>
      </w:pPr>
      <w:r>
        <w:t>PERMISSIBLE INVESTMENTS AND</w:t>
      </w:r>
      <w:r>
        <w:rPr>
          <w:spacing w:val="-1"/>
        </w:rPr>
        <w:t xml:space="preserve"> </w:t>
      </w:r>
      <w:r>
        <w:t>TRANSACTIONS</w:t>
      </w:r>
    </w:p>
    <w:p w:rsidR="009826AF" w:rsidRDefault="009826AF">
      <w:pPr>
        <w:pStyle w:val="BodyText"/>
        <w:spacing w:before="8"/>
        <w:rPr>
          <w:b/>
          <w:sz w:val="23"/>
        </w:rPr>
      </w:pPr>
    </w:p>
    <w:p w:rsidR="009826AF" w:rsidRDefault="00577A3E">
      <w:pPr>
        <w:pStyle w:val="ListParagraph"/>
        <w:numPr>
          <w:ilvl w:val="1"/>
          <w:numId w:val="6"/>
        </w:numPr>
        <w:tabs>
          <w:tab w:val="left" w:pos="940"/>
          <w:tab w:val="left" w:pos="941"/>
        </w:tabs>
        <w:spacing w:before="1"/>
        <w:ind w:left="940"/>
        <w:rPr>
          <w:sz w:val="24"/>
        </w:rPr>
      </w:pPr>
      <w:r>
        <w:rPr>
          <w:sz w:val="24"/>
        </w:rPr>
        <w:t>U.S. Treasury</w:t>
      </w:r>
      <w:r>
        <w:rPr>
          <w:spacing w:val="-5"/>
          <w:sz w:val="24"/>
        </w:rPr>
        <w:t xml:space="preserve"> </w:t>
      </w:r>
      <w:r>
        <w:rPr>
          <w:sz w:val="24"/>
        </w:rPr>
        <w:t>Obligations</w:t>
      </w:r>
    </w:p>
    <w:p w:rsidR="009826AF" w:rsidRDefault="00577A3E">
      <w:pPr>
        <w:pStyle w:val="ListParagraph"/>
        <w:numPr>
          <w:ilvl w:val="1"/>
          <w:numId w:val="6"/>
        </w:numPr>
        <w:tabs>
          <w:tab w:val="left" w:pos="940"/>
          <w:tab w:val="left" w:pos="941"/>
        </w:tabs>
        <w:spacing w:line="292" w:lineRule="exact"/>
        <w:ind w:left="940"/>
        <w:rPr>
          <w:sz w:val="24"/>
        </w:rPr>
      </w:pPr>
      <w:r>
        <w:rPr>
          <w:sz w:val="24"/>
        </w:rPr>
        <w:t>U.S. Government Sponsored</w:t>
      </w:r>
      <w:r>
        <w:rPr>
          <w:spacing w:val="-1"/>
          <w:sz w:val="24"/>
        </w:rPr>
        <w:t xml:space="preserve"> </w:t>
      </w:r>
      <w:r>
        <w:rPr>
          <w:sz w:val="24"/>
        </w:rPr>
        <w:t>Enterprises</w:t>
      </w:r>
    </w:p>
    <w:p w:rsidR="009826AF" w:rsidRDefault="00577A3E">
      <w:pPr>
        <w:pStyle w:val="ListParagraph"/>
        <w:numPr>
          <w:ilvl w:val="0"/>
          <w:numId w:val="4"/>
        </w:numPr>
        <w:tabs>
          <w:tab w:val="left" w:pos="1661"/>
        </w:tabs>
        <w:spacing w:line="284" w:lineRule="exact"/>
        <w:rPr>
          <w:sz w:val="24"/>
        </w:rPr>
      </w:pPr>
      <w:r>
        <w:rPr>
          <w:sz w:val="24"/>
        </w:rPr>
        <w:t>Government National Mortgage Association</w:t>
      </w:r>
      <w:r>
        <w:rPr>
          <w:spacing w:val="-2"/>
          <w:sz w:val="24"/>
        </w:rPr>
        <w:t xml:space="preserve"> </w:t>
      </w:r>
      <w:r>
        <w:rPr>
          <w:sz w:val="24"/>
        </w:rPr>
        <w:t>(GNMA)</w:t>
      </w:r>
    </w:p>
    <w:p w:rsidR="009826AF" w:rsidRDefault="00577A3E">
      <w:pPr>
        <w:pStyle w:val="ListParagraph"/>
        <w:numPr>
          <w:ilvl w:val="0"/>
          <w:numId w:val="4"/>
        </w:numPr>
        <w:tabs>
          <w:tab w:val="left" w:pos="1661"/>
        </w:tabs>
        <w:spacing w:line="276" w:lineRule="exact"/>
        <w:rPr>
          <w:sz w:val="24"/>
        </w:rPr>
      </w:pPr>
      <w:r>
        <w:rPr>
          <w:sz w:val="24"/>
        </w:rPr>
        <w:t>Federal National Mortgage Association (FNMA)</w:t>
      </w:r>
    </w:p>
    <w:p w:rsidR="009826AF" w:rsidRDefault="00577A3E">
      <w:pPr>
        <w:pStyle w:val="ListParagraph"/>
        <w:numPr>
          <w:ilvl w:val="0"/>
          <w:numId w:val="4"/>
        </w:numPr>
        <w:tabs>
          <w:tab w:val="left" w:pos="1661"/>
        </w:tabs>
        <w:spacing w:line="276" w:lineRule="exact"/>
        <w:rPr>
          <w:sz w:val="24"/>
        </w:rPr>
      </w:pPr>
      <w:r>
        <w:rPr>
          <w:sz w:val="24"/>
        </w:rPr>
        <w:t>Federal Home Loan Mortgage Association</w:t>
      </w:r>
      <w:r>
        <w:rPr>
          <w:spacing w:val="-1"/>
          <w:sz w:val="24"/>
        </w:rPr>
        <w:t xml:space="preserve"> </w:t>
      </w:r>
      <w:r>
        <w:rPr>
          <w:sz w:val="24"/>
        </w:rPr>
        <w:t>(FHLMC)</w:t>
      </w:r>
    </w:p>
    <w:p w:rsidR="009826AF" w:rsidRDefault="00577A3E">
      <w:pPr>
        <w:pStyle w:val="ListParagraph"/>
        <w:numPr>
          <w:ilvl w:val="0"/>
          <w:numId w:val="4"/>
        </w:numPr>
        <w:tabs>
          <w:tab w:val="left" w:pos="1661"/>
        </w:tabs>
        <w:spacing w:line="276" w:lineRule="exact"/>
        <w:rPr>
          <w:sz w:val="24"/>
        </w:rPr>
      </w:pPr>
      <w:r>
        <w:rPr>
          <w:sz w:val="24"/>
        </w:rPr>
        <w:t>Federal Home Loan Bank (FHLB)</w:t>
      </w:r>
    </w:p>
    <w:p w:rsidR="009826AF" w:rsidRDefault="00577A3E">
      <w:pPr>
        <w:pStyle w:val="ListParagraph"/>
        <w:numPr>
          <w:ilvl w:val="0"/>
          <w:numId w:val="4"/>
        </w:numPr>
        <w:tabs>
          <w:tab w:val="left" w:pos="1661"/>
        </w:tabs>
        <w:spacing w:line="276" w:lineRule="exact"/>
        <w:rPr>
          <w:sz w:val="24"/>
        </w:rPr>
      </w:pPr>
      <w:r>
        <w:rPr>
          <w:sz w:val="24"/>
        </w:rPr>
        <w:t>Federal Agricultural Mortgage Association, Inc (FARMER</w:t>
      </w:r>
      <w:r>
        <w:rPr>
          <w:spacing w:val="-1"/>
          <w:sz w:val="24"/>
        </w:rPr>
        <w:t xml:space="preserve"> </w:t>
      </w:r>
      <w:r>
        <w:rPr>
          <w:sz w:val="24"/>
        </w:rPr>
        <w:t>MAC)</w:t>
      </w:r>
    </w:p>
    <w:p w:rsidR="009826AF" w:rsidRDefault="00577A3E">
      <w:pPr>
        <w:pStyle w:val="ListParagraph"/>
        <w:numPr>
          <w:ilvl w:val="0"/>
          <w:numId w:val="4"/>
        </w:numPr>
        <w:tabs>
          <w:tab w:val="left" w:pos="1661"/>
        </w:tabs>
        <w:spacing w:line="276" w:lineRule="exact"/>
        <w:rPr>
          <w:sz w:val="24"/>
        </w:rPr>
      </w:pPr>
      <w:r>
        <w:rPr>
          <w:sz w:val="24"/>
        </w:rPr>
        <w:t>Federal Farm Credit Bank (FFCB)</w:t>
      </w:r>
    </w:p>
    <w:p w:rsidR="009826AF" w:rsidRDefault="00577A3E">
      <w:pPr>
        <w:pStyle w:val="ListParagraph"/>
        <w:numPr>
          <w:ilvl w:val="0"/>
          <w:numId w:val="4"/>
        </w:numPr>
        <w:tabs>
          <w:tab w:val="left" w:pos="1661"/>
        </w:tabs>
        <w:spacing w:line="276" w:lineRule="exact"/>
        <w:rPr>
          <w:sz w:val="24"/>
        </w:rPr>
      </w:pPr>
      <w:r>
        <w:rPr>
          <w:sz w:val="24"/>
        </w:rPr>
        <w:t>Small Business Administration Pools</w:t>
      </w:r>
      <w:r>
        <w:rPr>
          <w:spacing w:val="-1"/>
          <w:sz w:val="24"/>
        </w:rPr>
        <w:t xml:space="preserve"> </w:t>
      </w:r>
      <w:r>
        <w:rPr>
          <w:sz w:val="24"/>
        </w:rPr>
        <w:t>(SBA)</w:t>
      </w:r>
    </w:p>
    <w:p w:rsidR="009826AF" w:rsidRDefault="00577A3E">
      <w:pPr>
        <w:pStyle w:val="ListParagraph"/>
        <w:numPr>
          <w:ilvl w:val="0"/>
          <w:numId w:val="4"/>
        </w:numPr>
        <w:tabs>
          <w:tab w:val="left" w:pos="1661"/>
        </w:tabs>
        <w:spacing w:line="277" w:lineRule="exact"/>
        <w:rPr>
          <w:sz w:val="24"/>
        </w:rPr>
      </w:pPr>
      <w:r>
        <w:rPr>
          <w:sz w:val="24"/>
        </w:rPr>
        <w:t>Index Amortizing Notes (IAN) backed by</w:t>
      </w:r>
      <w:r>
        <w:rPr>
          <w:spacing w:val="-5"/>
          <w:sz w:val="24"/>
        </w:rPr>
        <w:t xml:space="preserve"> </w:t>
      </w:r>
      <w:r>
        <w:rPr>
          <w:sz w:val="24"/>
        </w:rPr>
        <w:t>GSEs</w:t>
      </w:r>
    </w:p>
    <w:p w:rsidR="009826AF" w:rsidRDefault="00577A3E">
      <w:pPr>
        <w:pStyle w:val="ListParagraph"/>
        <w:numPr>
          <w:ilvl w:val="1"/>
          <w:numId w:val="6"/>
        </w:numPr>
        <w:tabs>
          <w:tab w:val="left" w:pos="940"/>
          <w:tab w:val="left" w:pos="941"/>
        </w:tabs>
        <w:spacing w:line="284" w:lineRule="exact"/>
        <w:ind w:left="940"/>
        <w:rPr>
          <w:sz w:val="24"/>
        </w:rPr>
      </w:pPr>
      <w:r>
        <w:rPr>
          <w:sz w:val="24"/>
        </w:rPr>
        <w:t>U.S. Government Sponsored Enterprises Mortgage-Backed</w:t>
      </w:r>
      <w:r>
        <w:rPr>
          <w:spacing w:val="-2"/>
          <w:sz w:val="24"/>
        </w:rPr>
        <w:t xml:space="preserve"> </w:t>
      </w:r>
      <w:r>
        <w:rPr>
          <w:sz w:val="24"/>
        </w:rPr>
        <w:t>Securities</w:t>
      </w:r>
    </w:p>
    <w:p w:rsidR="009826AF" w:rsidRDefault="00577A3E">
      <w:pPr>
        <w:pStyle w:val="ListParagraph"/>
        <w:numPr>
          <w:ilvl w:val="0"/>
          <w:numId w:val="3"/>
        </w:numPr>
        <w:tabs>
          <w:tab w:val="left" w:pos="1661"/>
        </w:tabs>
        <w:spacing w:line="284" w:lineRule="exact"/>
        <w:rPr>
          <w:sz w:val="24"/>
        </w:rPr>
      </w:pPr>
      <w:r>
        <w:rPr>
          <w:sz w:val="24"/>
        </w:rPr>
        <w:t>FNMA</w:t>
      </w:r>
    </w:p>
    <w:p w:rsidR="009826AF" w:rsidRDefault="00577A3E">
      <w:pPr>
        <w:pStyle w:val="ListParagraph"/>
        <w:numPr>
          <w:ilvl w:val="0"/>
          <w:numId w:val="3"/>
        </w:numPr>
        <w:tabs>
          <w:tab w:val="left" w:pos="1661"/>
        </w:tabs>
        <w:spacing w:line="276" w:lineRule="exact"/>
        <w:rPr>
          <w:sz w:val="24"/>
        </w:rPr>
      </w:pPr>
      <w:r>
        <w:rPr>
          <w:sz w:val="24"/>
        </w:rPr>
        <w:t>GNMA</w:t>
      </w:r>
    </w:p>
    <w:p w:rsidR="009826AF" w:rsidRDefault="00577A3E">
      <w:pPr>
        <w:pStyle w:val="ListParagraph"/>
        <w:numPr>
          <w:ilvl w:val="0"/>
          <w:numId w:val="3"/>
        </w:numPr>
        <w:tabs>
          <w:tab w:val="left" w:pos="1661"/>
        </w:tabs>
        <w:spacing w:line="277" w:lineRule="exact"/>
        <w:rPr>
          <w:sz w:val="24"/>
        </w:rPr>
      </w:pPr>
      <w:r>
        <w:rPr>
          <w:sz w:val="24"/>
        </w:rPr>
        <w:t>FHLMC</w:t>
      </w:r>
    </w:p>
    <w:p w:rsidR="009826AF" w:rsidRDefault="00577A3E">
      <w:pPr>
        <w:pStyle w:val="ListParagraph"/>
        <w:numPr>
          <w:ilvl w:val="1"/>
          <w:numId w:val="6"/>
        </w:numPr>
        <w:tabs>
          <w:tab w:val="left" w:pos="940"/>
          <w:tab w:val="left" w:pos="941"/>
        </w:tabs>
        <w:spacing w:line="285" w:lineRule="exact"/>
        <w:ind w:left="940"/>
        <w:rPr>
          <w:sz w:val="24"/>
        </w:rPr>
      </w:pPr>
      <w:r>
        <w:rPr>
          <w:sz w:val="24"/>
        </w:rPr>
        <w:t>Commercial Mortgage-Backed Securities (Rated A or</w:t>
      </w:r>
      <w:r>
        <w:rPr>
          <w:spacing w:val="-3"/>
          <w:sz w:val="24"/>
        </w:rPr>
        <w:t xml:space="preserve"> </w:t>
      </w:r>
      <w:r>
        <w:rPr>
          <w:sz w:val="24"/>
        </w:rPr>
        <w:t>better)</w:t>
      </w:r>
    </w:p>
    <w:p w:rsidR="009826AF" w:rsidRDefault="00577A3E">
      <w:pPr>
        <w:pStyle w:val="ListParagraph"/>
        <w:numPr>
          <w:ilvl w:val="1"/>
          <w:numId w:val="6"/>
        </w:numPr>
        <w:tabs>
          <w:tab w:val="left" w:pos="940"/>
          <w:tab w:val="left" w:pos="941"/>
        </w:tabs>
        <w:spacing w:before="1"/>
        <w:ind w:left="940"/>
        <w:rPr>
          <w:sz w:val="24"/>
        </w:rPr>
      </w:pPr>
      <w:r>
        <w:rPr>
          <w:sz w:val="24"/>
        </w:rPr>
        <w:t>U.S. Government Sponsored Enterprises Collateralized Mortgage</w:t>
      </w:r>
      <w:r>
        <w:rPr>
          <w:spacing w:val="-2"/>
          <w:sz w:val="24"/>
        </w:rPr>
        <w:t xml:space="preserve"> </w:t>
      </w:r>
      <w:r>
        <w:rPr>
          <w:sz w:val="24"/>
        </w:rPr>
        <w:t>Obligations</w:t>
      </w:r>
    </w:p>
    <w:p w:rsidR="009826AF" w:rsidRDefault="00577A3E">
      <w:pPr>
        <w:pStyle w:val="ListParagraph"/>
        <w:numPr>
          <w:ilvl w:val="1"/>
          <w:numId w:val="6"/>
        </w:numPr>
        <w:tabs>
          <w:tab w:val="left" w:pos="940"/>
          <w:tab w:val="left" w:pos="941"/>
        </w:tabs>
        <w:ind w:left="940"/>
        <w:rPr>
          <w:sz w:val="24"/>
        </w:rPr>
      </w:pPr>
      <w:r>
        <w:rPr>
          <w:sz w:val="24"/>
        </w:rPr>
        <w:t>Whole Loan Collateralized Mortgage Obligations ( Rated AA or</w:t>
      </w:r>
      <w:r>
        <w:rPr>
          <w:spacing w:val="-5"/>
          <w:sz w:val="24"/>
        </w:rPr>
        <w:t xml:space="preserve"> </w:t>
      </w:r>
      <w:r>
        <w:rPr>
          <w:sz w:val="24"/>
        </w:rPr>
        <w:t>better)</w:t>
      </w:r>
    </w:p>
    <w:p w:rsidR="009826AF" w:rsidRDefault="00577A3E">
      <w:pPr>
        <w:pStyle w:val="ListParagraph"/>
        <w:numPr>
          <w:ilvl w:val="1"/>
          <w:numId w:val="6"/>
        </w:numPr>
        <w:tabs>
          <w:tab w:val="left" w:pos="940"/>
          <w:tab w:val="left" w:pos="941"/>
        </w:tabs>
        <w:ind w:left="940"/>
        <w:rPr>
          <w:sz w:val="24"/>
        </w:rPr>
      </w:pPr>
      <w:r>
        <w:rPr>
          <w:sz w:val="24"/>
        </w:rPr>
        <w:t>Distributed Underwriting Service</w:t>
      </w:r>
      <w:r>
        <w:rPr>
          <w:spacing w:val="-2"/>
          <w:sz w:val="24"/>
        </w:rPr>
        <w:t xml:space="preserve"> </w:t>
      </w:r>
      <w:r>
        <w:rPr>
          <w:sz w:val="24"/>
        </w:rPr>
        <w:t>(DUS)</w:t>
      </w:r>
    </w:p>
    <w:p w:rsidR="009826AF" w:rsidRDefault="00577A3E">
      <w:pPr>
        <w:pStyle w:val="ListParagraph"/>
        <w:numPr>
          <w:ilvl w:val="1"/>
          <w:numId w:val="6"/>
        </w:numPr>
        <w:tabs>
          <w:tab w:val="left" w:pos="940"/>
          <w:tab w:val="left" w:pos="941"/>
        </w:tabs>
        <w:ind w:left="940"/>
        <w:rPr>
          <w:sz w:val="24"/>
        </w:rPr>
      </w:pPr>
      <w:r>
        <w:rPr>
          <w:sz w:val="24"/>
        </w:rPr>
        <w:t>Commercial Paper (Rated A1/P1 or</w:t>
      </w:r>
      <w:r>
        <w:rPr>
          <w:spacing w:val="-1"/>
          <w:sz w:val="24"/>
        </w:rPr>
        <w:t xml:space="preserve"> </w:t>
      </w:r>
      <w:r>
        <w:rPr>
          <w:sz w:val="24"/>
        </w:rPr>
        <w:t>better)</w:t>
      </w:r>
    </w:p>
    <w:p w:rsidR="009826AF" w:rsidRDefault="00577A3E">
      <w:pPr>
        <w:pStyle w:val="ListParagraph"/>
        <w:numPr>
          <w:ilvl w:val="1"/>
          <w:numId w:val="6"/>
        </w:numPr>
        <w:tabs>
          <w:tab w:val="left" w:pos="940"/>
          <w:tab w:val="left" w:pos="941"/>
        </w:tabs>
        <w:ind w:left="940"/>
        <w:rPr>
          <w:sz w:val="24"/>
        </w:rPr>
      </w:pPr>
      <w:r>
        <w:rPr>
          <w:sz w:val="24"/>
        </w:rPr>
        <w:t>Notes, Bonds &amp; Debentures of Domestic Corporations (Rated A- or</w:t>
      </w:r>
      <w:r>
        <w:rPr>
          <w:spacing w:val="-6"/>
          <w:sz w:val="24"/>
        </w:rPr>
        <w:t xml:space="preserve"> </w:t>
      </w:r>
      <w:r>
        <w:rPr>
          <w:sz w:val="24"/>
        </w:rPr>
        <w:t>better)</w:t>
      </w:r>
    </w:p>
    <w:p w:rsidR="009826AF" w:rsidRDefault="00577A3E">
      <w:pPr>
        <w:pStyle w:val="ListParagraph"/>
        <w:numPr>
          <w:ilvl w:val="1"/>
          <w:numId w:val="6"/>
        </w:numPr>
        <w:tabs>
          <w:tab w:val="left" w:pos="940"/>
          <w:tab w:val="left" w:pos="941"/>
        </w:tabs>
        <w:ind w:left="940"/>
        <w:rPr>
          <w:sz w:val="24"/>
        </w:rPr>
      </w:pPr>
      <w:r>
        <w:rPr>
          <w:sz w:val="24"/>
        </w:rPr>
        <w:t>Bankers</w:t>
      </w:r>
      <w:r>
        <w:rPr>
          <w:spacing w:val="-6"/>
          <w:sz w:val="24"/>
        </w:rPr>
        <w:t xml:space="preserve"> </w:t>
      </w:r>
      <w:r>
        <w:rPr>
          <w:sz w:val="24"/>
        </w:rPr>
        <w:t>Acceptances</w:t>
      </w:r>
    </w:p>
    <w:p w:rsidR="009826AF" w:rsidRDefault="00577A3E">
      <w:pPr>
        <w:pStyle w:val="ListParagraph"/>
        <w:numPr>
          <w:ilvl w:val="1"/>
          <w:numId w:val="6"/>
        </w:numPr>
        <w:tabs>
          <w:tab w:val="left" w:pos="940"/>
          <w:tab w:val="left" w:pos="941"/>
        </w:tabs>
        <w:spacing w:before="1" w:line="294" w:lineRule="exact"/>
        <w:ind w:left="940"/>
        <w:rPr>
          <w:sz w:val="24"/>
        </w:rPr>
      </w:pPr>
      <w:r>
        <w:rPr>
          <w:sz w:val="24"/>
        </w:rPr>
        <w:t>Money Market</w:t>
      </w:r>
      <w:r>
        <w:rPr>
          <w:spacing w:val="-6"/>
          <w:sz w:val="24"/>
        </w:rPr>
        <w:t xml:space="preserve"> </w:t>
      </w:r>
      <w:r>
        <w:rPr>
          <w:sz w:val="24"/>
        </w:rPr>
        <w:t>Funds</w:t>
      </w:r>
    </w:p>
    <w:p w:rsidR="009826AF" w:rsidRDefault="00577A3E">
      <w:pPr>
        <w:pStyle w:val="ListParagraph"/>
        <w:numPr>
          <w:ilvl w:val="1"/>
          <w:numId w:val="6"/>
        </w:numPr>
        <w:tabs>
          <w:tab w:val="left" w:pos="940"/>
          <w:tab w:val="left" w:pos="941"/>
        </w:tabs>
        <w:ind w:left="940"/>
        <w:rPr>
          <w:sz w:val="24"/>
        </w:rPr>
      </w:pPr>
      <w:r>
        <w:rPr>
          <w:sz w:val="24"/>
        </w:rPr>
        <w:t>Mutual Funds &amp;</w:t>
      </w:r>
      <w:r>
        <w:rPr>
          <w:spacing w:val="-3"/>
          <w:sz w:val="24"/>
        </w:rPr>
        <w:t xml:space="preserve"> </w:t>
      </w:r>
      <w:r>
        <w:rPr>
          <w:sz w:val="24"/>
        </w:rPr>
        <w:t>ETFs</w:t>
      </w:r>
    </w:p>
    <w:p w:rsidR="009826AF" w:rsidRDefault="00577A3E">
      <w:pPr>
        <w:pStyle w:val="ListParagraph"/>
        <w:numPr>
          <w:ilvl w:val="1"/>
          <w:numId w:val="6"/>
        </w:numPr>
        <w:tabs>
          <w:tab w:val="left" w:pos="940"/>
          <w:tab w:val="left" w:pos="941"/>
        </w:tabs>
        <w:ind w:left="940"/>
        <w:rPr>
          <w:sz w:val="24"/>
        </w:rPr>
      </w:pPr>
      <w:r>
        <w:rPr>
          <w:sz w:val="24"/>
        </w:rPr>
        <w:t>Repurchase &amp; Reverse Repurchase</w:t>
      </w:r>
      <w:r>
        <w:rPr>
          <w:spacing w:val="-5"/>
          <w:sz w:val="24"/>
        </w:rPr>
        <w:t xml:space="preserve"> </w:t>
      </w:r>
      <w:r>
        <w:rPr>
          <w:sz w:val="24"/>
        </w:rPr>
        <w:t>Agreements</w:t>
      </w:r>
    </w:p>
    <w:p w:rsidR="009826AF" w:rsidRDefault="009826AF">
      <w:pPr>
        <w:pStyle w:val="BodyText"/>
        <w:rPr>
          <w:sz w:val="28"/>
        </w:rPr>
      </w:pPr>
    </w:p>
    <w:p w:rsidR="009826AF" w:rsidRDefault="00577A3E">
      <w:pPr>
        <w:pStyle w:val="ListParagraph"/>
        <w:numPr>
          <w:ilvl w:val="1"/>
          <w:numId w:val="6"/>
        </w:numPr>
        <w:tabs>
          <w:tab w:val="left" w:pos="940"/>
          <w:tab w:val="left" w:pos="941"/>
        </w:tabs>
        <w:spacing w:before="229" w:line="292" w:lineRule="exact"/>
        <w:ind w:left="940"/>
        <w:rPr>
          <w:sz w:val="24"/>
        </w:rPr>
      </w:pPr>
      <w:r>
        <w:rPr>
          <w:sz w:val="24"/>
        </w:rPr>
        <w:t>Common Stock &amp; Preferred</w:t>
      </w:r>
      <w:r>
        <w:rPr>
          <w:spacing w:val="-4"/>
          <w:sz w:val="24"/>
        </w:rPr>
        <w:t xml:space="preserve"> </w:t>
      </w:r>
      <w:r>
        <w:rPr>
          <w:sz w:val="24"/>
        </w:rPr>
        <w:t>Stock</w:t>
      </w:r>
    </w:p>
    <w:p w:rsidR="009826AF" w:rsidRDefault="00577A3E">
      <w:pPr>
        <w:pStyle w:val="ListParagraph"/>
        <w:numPr>
          <w:ilvl w:val="0"/>
          <w:numId w:val="2"/>
        </w:numPr>
        <w:tabs>
          <w:tab w:val="left" w:pos="1661"/>
        </w:tabs>
        <w:spacing w:before="12" w:line="223" w:lineRule="auto"/>
        <w:ind w:right="638"/>
        <w:rPr>
          <w:sz w:val="24"/>
        </w:rPr>
      </w:pPr>
      <w:r>
        <w:rPr>
          <w:sz w:val="24"/>
        </w:rPr>
        <w:t>Equity securities shall mean common &amp; preferred stock or the</w:t>
      </w:r>
      <w:r>
        <w:rPr>
          <w:spacing w:val="-12"/>
          <w:sz w:val="24"/>
        </w:rPr>
        <w:t xml:space="preserve"> </w:t>
      </w:r>
      <w:r>
        <w:rPr>
          <w:sz w:val="24"/>
        </w:rPr>
        <w:t>equivalent (ADRs, issues convertible to common stock,</w:t>
      </w:r>
      <w:r>
        <w:rPr>
          <w:spacing w:val="-2"/>
          <w:sz w:val="24"/>
        </w:rPr>
        <w:t xml:space="preserve"> </w:t>
      </w:r>
      <w:r>
        <w:rPr>
          <w:sz w:val="24"/>
        </w:rPr>
        <w:t>etc.)</w:t>
      </w:r>
    </w:p>
    <w:p w:rsidR="009826AF" w:rsidRDefault="00577A3E">
      <w:pPr>
        <w:pStyle w:val="ListParagraph"/>
        <w:numPr>
          <w:ilvl w:val="0"/>
          <w:numId w:val="2"/>
        </w:numPr>
        <w:tabs>
          <w:tab w:val="left" w:pos="1661"/>
        </w:tabs>
        <w:spacing w:before="19" w:line="223" w:lineRule="auto"/>
        <w:ind w:right="255"/>
        <w:rPr>
          <w:sz w:val="24"/>
        </w:rPr>
      </w:pPr>
      <w:r>
        <w:rPr>
          <w:sz w:val="24"/>
          <w:u w:val="single"/>
        </w:rPr>
        <w:t>Letter Stock</w:t>
      </w:r>
      <w:r>
        <w:rPr>
          <w:sz w:val="24"/>
        </w:rPr>
        <w:t xml:space="preserve"> (stock not registered with the SEC &amp; therefore cannot be sold</w:t>
      </w:r>
      <w:r>
        <w:rPr>
          <w:spacing w:val="-13"/>
          <w:sz w:val="24"/>
        </w:rPr>
        <w:t xml:space="preserve"> </w:t>
      </w:r>
      <w:r>
        <w:rPr>
          <w:sz w:val="24"/>
        </w:rPr>
        <w:t>in the public market) is not</w:t>
      </w:r>
      <w:r>
        <w:rPr>
          <w:spacing w:val="1"/>
          <w:sz w:val="24"/>
        </w:rPr>
        <w:t xml:space="preserve"> </w:t>
      </w:r>
      <w:r>
        <w:rPr>
          <w:sz w:val="24"/>
        </w:rPr>
        <w:t>permitted</w:t>
      </w:r>
    </w:p>
    <w:p w:rsidR="009826AF" w:rsidRDefault="00577A3E">
      <w:pPr>
        <w:pStyle w:val="ListParagraph"/>
        <w:numPr>
          <w:ilvl w:val="0"/>
          <w:numId w:val="2"/>
        </w:numPr>
        <w:tabs>
          <w:tab w:val="left" w:pos="1661"/>
        </w:tabs>
        <w:spacing w:before="4" w:line="286" w:lineRule="exact"/>
        <w:rPr>
          <w:sz w:val="24"/>
        </w:rPr>
      </w:pPr>
      <w:r>
        <w:rPr>
          <w:sz w:val="24"/>
          <w:u w:val="single"/>
        </w:rPr>
        <w:t>Short Sales</w:t>
      </w:r>
      <w:r>
        <w:rPr>
          <w:sz w:val="24"/>
        </w:rPr>
        <w:t xml:space="preserve"> (sale of a stock not owned by the seller) are not</w:t>
      </w:r>
      <w:r>
        <w:rPr>
          <w:spacing w:val="-11"/>
          <w:sz w:val="24"/>
        </w:rPr>
        <w:t xml:space="preserve"> </w:t>
      </w:r>
      <w:r>
        <w:rPr>
          <w:sz w:val="24"/>
        </w:rPr>
        <w:t>permitted.</w:t>
      </w:r>
    </w:p>
    <w:p w:rsidR="009826AF" w:rsidRDefault="00577A3E">
      <w:pPr>
        <w:pStyle w:val="ListParagraph"/>
        <w:numPr>
          <w:ilvl w:val="0"/>
          <w:numId w:val="2"/>
        </w:numPr>
        <w:tabs>
          <w:tab w:val="left" w:pos="1661"/>
        </w:tabs>
        <w:spacing w:line="276" w:lineRule="exact"/>
        <w:rPr>
          <w:sz w:val="24"/>
        </w:rPr>
      </w:pPr>
      <w:r>
        <w:rPr>
          <w:sz w:val="24"/>
        </w:rPr>
        <w:t>Investments in non-dollar denominated securities are not</w:t>
      </w:r>
      <w:r>
        <w:rPr>
          <w:spacing w:val="-4"/>
          <w:sz w:val="24"/>
        </w:rPr>
        <w:t xml:space="preserve"> </w:t>
      </w:r>
      <w:r>
        <w:rPr>
          <w:sz w:val="24"/>
        </w:rPr>
        <w:t>permitted</w:t>
      </w:r>
    </w:p>
    <w:p w:rsidR="009826AF" w:rsidRDefault="00577A3E">
      <w:pPr>
        <w:pStyle w:val="ListParagraph"/>
        <w:numPr>
          <w:ilvl w:val="0"/>
          <w:numId w:val="2"/>
        </w:numPr>
        <w:tabs>
          <w:tab w:val="left" w:pos="1661"/>
        </w:tabs>
        <w:spacing w:line="232" w:lineRule="auto"/>
        <w:ind w:right="427"/>
        <w:rPr>
          <w:sz w:val="24"/>
        </w:rPr>
      </w:pPr>
      <w:r>
        <w:rPr>
          <w:sz w:val="24"/>
        </w:rPr>
        <w:t>Investments in American Depository Receipts (ADRs) of common stock</w:t>
      </w:r>
      <w:r>
        <w:rPr>
          <w:spacing w:val="-12"/>
          <w:sz w:val="24"/>
        </w:rPr>
        <w:t xml:space="preserve"> </w:t>
      </w:r>
      <w:r>
        <w:rPr>
          <w:sz w:val="24"/>
        </w:rPr>
        <w:t>of foreign companies listed on one of the major U.S. security exchanges or traded in the national over-the-counter market are</w:t>
      </w:r>
      <w:r>
        <w:rPr>
          <w:spacing w:val="-3"/>
          <w:sz w:val="24"/>
        </w:rPr>
        <w:t xml:space="preserve"> </w:t>
      </w:r>
      <w:r>
        <w:rPr>
          <w:sz w:val="24"/>
        </w:rPr>
        <w:t>permitted.</w:t>
      </w:r>
    </w:p>
    <w:p w:rsidR="009826AF" w:rsidRDefault="009826AF">
      <w:pPr>
        <w:pStyle w:val="BodyText"/>
        <w:rPr>
          <w:sz w:val="26"/>
        </w:rPr>
      </w:pPr>
    </w:p>
    <w:p w:rsidR="009826AF" w:rsidRDefault="009826AF">
      <w:pPr>
        <w:pStyle w:val="BodyText"/>
        <w:rPr>
          <w:sz w:val="22"/>
        </w:rPr>
      </w:pPr>
    </w:p>
    <w:p w:rsidR="009826AF" w:rsidRDefault="00577A3E">
      <w:pPr>
        <w:pStyle w:val="Heading1"/>
        <w:numPr>
          <w:ilvl w:val="0"/>
          <w:numId w:val="6"/>
        </w:numPr>
        <w:tabs>
          <w:tab w:val="left" w:pos="761"/>
        </w:tabs>
        <w:ind w:hanging="521"/>
        <w:jc w:val="left"/>
      </w:pPr>
      <w:r>
        <w:t>GENERAL PORTFOLIO GUIDELINES</w:t>
      </w:r>
    </w:p>
    <w:p w:rsidR="009826AF" w:rsidRDefault="009826AF">
      <w:pPr>
        <w:pStyle w:val="BodyText"/>
        <w:rPr>
          <w:b/>
        </w:rPr>
      </w:pPr>
    </w:p>
    <w:p w:rsidR="009826AF" w:rsidRDefault="00577A3E">
      <w:pPr>
        <w:pStyle w:val="ListParagraph"/>
        <w:numPr>
          <w:ilvl w:val="1"/>
          <w:numId w:val="6"/>
        </w:numPr>
        <w:tabs>
          <w:tab w:val="left" w:pos="1480"/>
          <w:tab w:val="left" w:pos="1481"/>
        </w:tabs>
        <w:spacing w:line="237" w:lineRule="auto"/>
        <w:ind w:left="1480" w:right="286"/>
        <w:rPr>
          <w:sz w:val="24"/>
        </w:rPr>
      </w:pPr>
      <w:r>
        <w:rPr>
          <w:sz w:val="24"/>
        </w:rPr>
        <w:t>The weighted average credit rating of the portfolio should be investment grade A or</w:t>
      </w:r>
      <w:r>
        <w:rPr>
          <w:spacing w:val="-3"/>
          <w:sz w:val="24"/>
        </w:rPr>
        <w:t xml:space="preserve"> </w:t>
      </w:r>
      <w:r>
        <w:rPr>
          <w:sz w:val="24"/>
        </w:rPr>
        <w:t>better.</w:t>
      </w:r>
    </w:p>
    <w:p w:rsidR="009826AF" w:rsidRDefault="009826AF">
      <w:pPr>
        <w:spacing w:line="237" w:lineRule="auto"/>
        <w:rPr>
          <w:sz w:val="24"/>
        </w:rPr>
        <w:sectPr w:rsidR="009826AF">
          <w:pgSz w:w="12240" w:h="15840"/>
          <w:pgMar w:top="1500" w:right="1340" w:bottom="1620" w:left="1580" w:header="0" w:footer="1435" w:gutter="0"/>
          <w:cols w:space="720"/>
        </w:sectPr>
      </w:pPr>
    </w:p>
    <w:p w:rsidR="009826AF" w:rsidRDefault="009826AF">
      <w:pPr>
        <w:pStyle w:val="BodyText"/>
        <w:spacing w:before="6"/>
        <w:rPr>
          <w:sz w:val="9"/>
        </w:rPr>
      </w:pPr>
    </w:p>
    <w:p w:rsidR="009826AF" w:rsidRDefault="00577A3E">
      <w:pPr>
        <w:pStyle w:val="ListParagraph"/>
        <w:numPr>
          <w:ilvl w:val="1"/>
          <w:numId w:val="6"/>
        </w:numPr>
        <w:tabs>
          <w:tab w:val="left" w:pos="1480"/>
          <w:tab w:val="left" w:pos="1481"/>
        </w:tabs>
        <w:spacing w:before="101"/>
        <w:ind w:left="1480"/>
        <w:rPr>
          <w:sz w:val="24"/>
        </w:rPr>
      </w:pPr>
      <w:r>
        <w:rPr>
          <w:sz w:val="24"/>
        </w:rPr>
        <w:t>Generally, the allocation of the portfolio should be:</w:t>
      </w:r>
    </w:p>
    <w:p w:rsidR="009826AF" w:rsidRDefault="00577A3E">
      <w:pPr>
        <w:tabs>
          <w:tab w:val="left" w:pos="7421"/>
        </w:tabs>
        <w:spacing w:line="252" w:lineRule="exact"/>
        <w:ind w:left="2380"/>
        <w:jc w:val="both"/>
      </w:pPr>
      <w:r>
        <w:t>Fixed</w:t>
      </w:r>
      <w:r>
        <w:rPr>
          <w:spacing w:val="-2"/>
        </w:rPr>
        <w:t xml:space="preserve"> </w:t>
      </w:r>
      <w:r>
        <w:t>Income</w:t>
      </w:r>
      <w:r>
        <w:tab/>
        <w:t>40% to</w:t>
      </w:r>
      <w:r>
        <w:rPr>
          <w:spacing w:val="-4"/>
        </w:rPr>
        <w:t xml:space="preserve"> </w:t>
      </w:r>
      <w:r>
        <w:t>70%</w:t>
      </w:r>
    </w:p>
    <w:p w:rsidR="009826AF" w:rsidRDefault="00577A3E">
      <w:pPr>
        <w:tabs>
          <w:tab w:val="left" w:pos="7421"/>
        </w:tabs>
        <w:spacing w:before="1" w:line="252" w:lineRule="exact"/>
        <w:ind w:left="2380"/>
        <w:jc w:val="both"/>
      </w:pPr>
      <w:r>
        <w:t>Equities</w:t>
      </w:r>
      <w:r>
        <w:tab/>
        <w:t>20% to</w:t>
      </w:r>
      <w:r>
        <w:rPr>
          <w:spacing w:val="-4"/>
        </w:rPr>
        <w:t xml:space="preserve"> </w:t>
      </w:r>
      <w:r>
        <w:t>50%</w:t>
      </w:r>
    </w:p>
    <w:p w:rsidR="009826AF" w:rsidRDefault="00577A3E">
      <w:pPr>
        <w:tabs>
          <w:tab w:val="left" w:pos="7421"/>
        </w:tabs>
        <w:spacing w:line="252" w:lineRule="exact"/>
        <w:ind w:left="2380"/>
        <w:jc w:val="both"/>
      </w:pPr>
      <w:r>
        <w:t>Cash</w:t>
      </w:r>
      <w:r>
        <w:rPr>
          <w:spacing w:val="-1"/>
        </w:rPr>
        <w:t xml:space="preserve"> </w:t>
      </w:r>
      <w:r>
        <w:t>Equivalents</w:t>
      </w:r>
      <w:r>
        <w:tab/>
        <w:t>0%   to</w:t>
      </w:r>
      <w:r>
        <w:rPr>
          <w:spacing w:val="-2"/>
        </w:rPr>
        <w:t xml:space="preserve"> </w:t>
      </w:r>
      <w:r>
        <w:t>10%</w:t>
      </w:r>
    </w:p>
    <w:p w:rsidR="009826AF" w:rsidRDefault="009826AF">
      <w:pPr>
        <w:pStyle w:val="BodyText"/>
        <w:spacing w:before="10"/>
        <w:rPr>
          <w:sz w:val="23"/>
        </w:rPr>
      </w:pPr>
    </w:p>
    <w:p w:rsidR="009826AF" w:rsidRDefault="00577A3E">
      <w:pPr>
        <w:pStyle w:val="ListParagraph"/>
        <w:numPr>
          <w:ilvl w:val="1"/>
          <w:numId w:val="6"/>
        </w:numPr>
        <w:tabs>
          <w:tab w:val="left" w:pos="1480"/>
          <w:tab w:val="left" w:pos="1481"/>
        </w:tabs>
        <w:spacing w:before="1" w:line="240" w:lineRule="auto"/>
        <w:ind w:left="1480"/>
        <w:rPr>
          <w:sz w:val="24"/>
        </w:rPr>
      </w:pPr>
      <w:r>
        <w:rPr>
          <w:sz w:val="24"/>
        </w:rPr>
        <w:t>Fixed Income Allocations:</w:t>
      </w:r>
    </w:p>
    <w:p w:rsidR="009826AF" w:rsidRDefault="00577A3E">
      <w:pPr>
        <w:tabs>
          <w:tab w:val="left" w:pos="7421"/>
        </w:tabs>
        <w:spacing w:before="1" w:line="252" w:lineRule="exact"/>
        <w:ind w:left="2380"/>
        <w:jc w:val="both"/>
      </w:pPr>
      <w:r>
        <w:t>Mortgage-Backed</w:t>
      </w:r>
      <w:r>
        <w:rPr>
          <w:spacing w:val="-3"/>
        </w:rPr>
        <w:t xml:space="preserve"> </w:t>
      </w:r>
      <w:r>
        <w:t>Securities</w:t>
      </w:r>
      <w:r>
        <w:tab/>
        <w:t>0% to</w:t>
      </w:r>
      <w:r>
        <w:rPr>
          <w:spacing w:val="-2"/>
        </w:rPr>
        <w:t xml:space="preserve"> </w:t>
      </w:r>
      <w:r>
        <w:t>30%</w:t>
      </w:r>
    </w:p>
    <w:p w:rsidR="009826AF" w:rsidRDefault="00577A3E">
      <w:pPr>
        <w:tabs>
          <w:tab w:val="left" w:pos="7421"/>
        </w:tabs>
        <w:spacing w:line="252" w:lineRule="exact"/>
        <w:ind w:left="2380"/>
        <w:jc w:val="both"/>
      </w:pPr>
      <w:r>
        <w:t>Corporate Bonds (A-</w:t>
      </w:r>
      <w:r>
        <w:rPr>
          <w:spacing w:val="-7"/>
        </w:rPr>
        <w:t xml:space="preserve"> </w:t>
      </w:r>
      <w:r>
        <w:t>or better)</w:t>
      </w:r>
      <w:r>
        <w:tab/>
        <w:t>0% to</w:t>
      </w:r>
      <w:r>
        <w:rPr>
          <w:spacing w:val="-2"/>
        </w:rPr>
        <w:t xml:space="preserve"> </w:t>
      </w:r>
      <w:r>
        <w:t>20%</w:t>
      </w:r>
    </w:p>
    <w:p w:rsidR="009826AF" w:rsidRDefault="00577A3E">
      <w:pPr>
        <w:tabs>
          <w:tab w:val="left" w:pos="7421"/>
        </w:tabs>
        <w:spacing w:line="252" w:lineRule="exact"/>
        <w:ind w:left="2380"/>
        <w:jc w:val="both"/>
      </w:pPr>
      <w:r>
        <w:t>SBA</w:t>
      </w:r>
      <w:r>
        <w:rPr>
          <w:spacing w:val="-1"/>
        </w:rPr>
        <w:t xml:space="preserve"> </w:t>
      </w:r>
      <w:r>
        <w:t>Pools</w:t>
      </w:r>
      <w:r>
        <w:tab/>
        <w:t>0% to</w:t>
      </w:r>
      <w:r>
        <w:rPr>
          <w:spacing w:val="-2"/>
        </w:rPr>
        <w:t xml:space="preserve"> </w:t>
      </w:r>
      <w:r>
        <w:t>10%</w:t>
      </w:r>
    </w:p>
    <w:p w:rsidR="009826AF" w:rsidRDefault="00577A3E">
      <w:pPr>
        <w:tabs>
          <w:tab w:val="left" w:pos="7421"/>
        </w:tabs>
        <w:spacing w:before="1" w:line="252" w:lineRule="exact"/>
        <w:ind w:left="2380"/>
        <w:jc w:val="both"/>
      </w:pPr>
      <w:r>
        <w:t>Agency</w:t>
      </w:r>
      <w:r>
        <w:rPr>
          <w:spacing w:val="-4"/>
        </w:rPr>
        <w:t xml:space="preserve"> </w:t>
      </w:r>
      <w:r>
        <w:t>Debentures</w:t>
      </w:r>
      <w:r>
        <w:tab/>
        <w:t>0% to</w:t>
      </w:r>
      <w:r>
        <w:rPr>
          <w:spacing w:val="-5"/>
        </w:rPr>
        <w:t xml:space="preserve"> </w:t>
      </w:r>
      <w:r>
        <w:t>50%</w:t>
      </w:r>
    </w:p>
    <w:p w:rsidR="009826AF" w:rsidRDefault="00577A3E">
      <w:pPr>
        <w:tabs>
          <w:tab w:val="left" w:pos="7421"/>
        </w:tabs>
        <w:spacing w:line="252" w:lineRule="exact"/>
        <w:ind w:left="2380"/>
        <w:jc w:val="both"/>
      </w:pPr>
      <w:r>
        <w:t>Collateralized</w:t>
      </w:r>
      <w:r>
        <w:rPr>
          <w:spacing w:val="-4"/>
        </w:rPr>
        <w:t xml:space="preserve"> </w:t>
      </w:r>
      <w:r>
        <w:t>Mtge.Obligations</w:t>
      </w:r>
      <w:r>
        <w:tab/>
        <w:t>0% to</w:t>
      </w:r>
      <w:r>
        <w:rPr>
          <w:spacing w:val="-5"/>
        </w:rPr>
        <w:t xml:space="preserve"> </w:t>
      </w:r>
      <w:r>
        <w:t>30%</w:t>
      </w:r>
    </w:p>
    <w:p w:rsidR="009826AF" w:rsidRDefault="009826AF">
      <w:pPr>
        <w:pStyle w:val="BodyText"/>
        <w:spacing w:before="1"/>
      </w:pPr>
    </w:p>
    <w:p w:rsidR="009826AF" w:rsidRDefault="00577A3E">
      <w:pPr>
        <w:pStyle w:val="ListParagraph"/>
        <w:numPr>
          <w:ilvl w:val="1"/>
          <w:numId w:val="6"/>
        </w:numPr>
        <w:tabs>
          <w:tab w:val="left" w:pos="1480"/>
          <w:tab w:val="left" w:pos="1481"/>
        </w:tabs>
        <w:spacing w:before="1" w:line="294" w:lineRule="exact"/>
        <w:ind w:left="1480"/>
        <w:rPr>
          <w:sz w:val="24"/>
        </w:rPr>
      </w:pPr>
      <w:r>
        <w:rPr>
          <w:sz w:val="24"/>
        </w:rPr>
        <w:t>Equity</w:t>
      </w:r>
      <w:r>
        <w:rPr>
          <w:spacing w:val="-5"/>
          <w:sz w:val="24"/>
        </w:rPr>
        <w:t xml:space="preserve"> </w:t>
      </w:r>
      <w:r>
        <w:rPr>
          <w:sz w:val="24"/>
        </w:rPr>
        <w:t>Allocations</w:t>
      </w:r>
    </w:p>
    <w:p w:rsidR="00E04B46" w:rsidRDefault="00577A3E">
      <w:pPr>
        <w:tabs>
          <w:tab w:val="left" w:pos="7421"/>
        </w:tabs>
        <w:ind w:left="2380" w:right="917"/>
        <w:jc w:val="both"/>
      </w:pPr>
      <w:r>
        <w:t>Large Cap (Mutual Funds</w:t>
      </w:r>
      <w:r>
        <w:rPr>
          <w:spacing w:val="-3"/>
        </w:rPr>
        <w:t xml:space="preserve"> </w:t>
      </w:r>
      <w:r>
        <w:t>&amp;</w:t>
      </w:r>
      <w:r>
        <w:rPr>
          <w:spacing w:val="-2"/>
        </w:rPr>
        <w:t xml:space="preserve"> </w:t>
      </w:r>
      <w:r>
        <w:t>ETFs)</w:t>
      </w:r>
      <w:r>
        <w:tab/>
        <w:t xml:space="preserve">0% to 50% </w:t>
      </w:r>
    </w:p>
    <w:p w:rsidR="00E04B46" w:rsidRDefault="00E04B46">
      <w:pPr>
        <w:tabs>
          <w:tab w:val="left" w:pos="7421"/>
        </w:tabs>
        <w:ind w:left="2380" w:right="917"/>
        <w:jc w:val="both"/>
      </w:pPr>
      <w:r>
        <w:t>Mid Caps</w:t>
      </w:r>
      <w:r>
        <w:tab/>
        <w:t>0% to 20%</w:t>
      </w:r>
    </w:p>
    <w:p w:rsidR="009826AF" w:rsidRDefault="00577A3E">
      <w:pPr>
        <w:tabs>
          <w:tab w:val="left" w:pos="7421"/>
        </w:tabs>
        <w:ind w:left="2380" w:right="917"/>
        <w:jc w:val="both"/>
      </w:pPr>
      <w:r>
        <w:t>Small Cap Growth &amp; Value (Mutual Funds &amp; ETFs) 0% to 30% International</w:t>
      </w:r>
      <w:r w:rsidR="00E04B46">
        <w:t xml:space="preserve"> - Global</w:t>
      </w:r>
      <w:r>
        <w:t xml:space="preserve"> (Mutual Funds &amp;</w:t>
      </w:r>
      <w:r>
        <w:rPr>
          <w:spacing w:val="-3"/>
        </w:rPr>
        <w:t xml:space="preserve"> </w:t>
      </w:r>
      <w:r>
        <w:t>ETFs)</w:t>
      </w:r>
      <w:r>
        <w:tab/>
        <w:t>0% to</w:t>
      </w:r>
      <w:r>
        <w:rPr>
          <w:spacing w:val="-2"/>
        </w:rPr>
        <w:t xml:space="preserve"> </w:t>
      </w:r>
      <w:r w:rsidR="00E04B46">
        <w:t>2</w:t>
      </w:r>
      <w:r>
        <w:t>0%</w:t>
      </w:r>
    </w:p>
    <w:p w:rsidR="009826AF" w:rsidRDefault="009826AF">
      <w:pPr>
        <w:pStyle w:val="BodyText"/>
      </w:pPr>
    </w:p>
    <w:p w:rsidR="009826AF" w:rsidRDefault="009826AF">
      <w:pPr>
        <w:pStyle w:val="BodyText"/>
        <w:spacing w:before="1"/>
      </w:pPr>
    </w:p>
    <w:p w:rsidR="009826AF" w:rsidRDefault="00577A3E">
      <w:pPr>
        <w:pStyle w:val="ListParagraph"/>
        <w:numPr>
          <w:ilvl w:val="1"/>
          <w:numId w:val="6"/>
        </w:numPr>
        <w:tabs>
          <w:tab w:val="left" w:pos="1480"/>
          <w:tab w:val="left" w:pos="1481"/>
        </w:tabs>
        <w:spacing w:line="237" w:lineRule="auto"/>
        <w:ind w:left="1480" w:right="906"/>
        <w:rPr>
          <w:sz w:val="24"/>
        </w:rPr>
      </w:pPr>
      <w:r>
        <w:rPr>
          <w:sz w:val="24"/>
        </w:rPr>
        <w:t>The Corporate bonds for any one industry should not exceed 40% of the consolidated fixed income</w:t>
      </w:r>
      <w:r>
        <w:rPr>
          <w:spacing w:val="-2"/>
          <w:sz w:val="24"/>
        </w:rPr>
        <w:t xml:space="preserve"> </w:t>
      </w:r>
      <w:r>
        <w:rPr>
          <w:sz w:val="24"/>
        </w:rPr>
        <w:t>portfolio.</w:t>
      </w:r>
    </w:p>
    <w:p w:rsidR="009826AF" w:rsidRDefault="009826AF">
      <w:pPr>
        <w:pStyle w:val="BodyText"/>
        <w:rPr>
          <w:sz w:val="26"/>
        </w:rPr>
      </w:pPr>
    </w:p>
    <w:p w:rsidR="009826AF" w:rsidRDefault="009826AF">
      <w:pPr>
        <w:pStyle w:val="BodyText"/>
        <w:spacing w:before="5"/>
        <w:rPr>
          <w:sz w:val="22"/>
        </w:rPr>
      </w:pPr>
    </w:p>
    <w:p w:rsidR="009826AF" w:rsidRDefault="00577A3E">
      <w:pPr>
        <w:pStyle w:val="Heading1"/>
        <w:numPr>
          <w:ilvl w:val="0"/>
          <w:numId w:val="6"/>
        </w:numPr>
        <w:tabs>
          <w:tab w:val="left" w:pos="761"/>
        </w:tabs>
        <w:ind w:hanging="506"/>
        <w:jc w:val="left"/>
      </w:pPr>
      <w:r>
        <w:t>CONTROLS, MONITORING AND REPORTING</w:t>
      </w:r>
      <w:r>
        <w:rPr>
          <w:spacing w:val="-7"/>
        </w:rPr>
        <w:t xml:space="preserve"> </w:t>
      </w:r>
      <w:r>
        <w:t>MECHANISMS</w:t>
      </w:r>
    </w:p>
    <w:p w:rsidR="009826AF" w:rsidRDefault="009826AF">
      <w:pPr>
        <w:pStyle w:val="BodyText"/>
        <w:spacing w:before="7"/>
        <w:rPr>
          <w:b/>
          <w:sz w:val="23"/>
        </w:rPr>
      </w:pPr>
    </w:p>
    <w:p w:rsidR="009826AF" w:rsidRDefault="00577A3E">
      <w:pPr>
        <w:pStyle w:val="BodyText"/>
        <w:ind w:left="1120" w:right="448"/>
      </w:pPr>
      <w:r>
        <w:t>The Investment Committee will have the duty and responsibility of management overview of the activities of the investment portfolio. The activity of the investment portfolio shall be reported to the Investment Committee periodically. Each month, the investment manager will provide staff with accounting reports. Additionally, a summary of portfolio graphs will be provided quarterly.</w:t>
      </w:r>
    </w:p>
    <w:p w:rsidR="009826AF" w:rsidRDefault="009826AF">
      <w:pPr>
        <w:pStyle w:val="BodyText"/>
      </w:pPr>
    </w:p>
    <w:p w:rsidR="009826AF" w:rsidRDefault="00577A3E">
      <w:pPr>
        <w:pStyle w:val="BodyText"/>
        <w:spacing w:before="1"/>
        <w:ind w:left="1120" w:right="161"/>
      </w:pPr>
      <w:r>
        <w:t>The Investment Committee will work as a team with outside investment managers as the Investment Committee deems appropriate to develop formal strategies and recommended asset allocations to meet or exceed the overall return objectives measured against all risks and regulatory factors.</w:t>
      </w:r>
    </w:p>
    <w:p w:rsidR="009826AF" w:rsidRDefault="009826AF">
      <w:pPr>
        <w:pStyle w:val="BodyText"/>
        <w:rPr>
          <w:sz w:val="26"/>
        </w:rPr>
      </w:pPr>
    </w:p>
    <w:p w:rsidR="009826AF" w:rsidRDefault="009826AF">
      <w:pPr>
        <w:pStyle w:val="BodyText"/>
        <w:spacing w:before="4"/>
        <w:rPr>
          <w:sz w:val="22"/>
        </w:rPr>
      </w:pPr>
    </w:p>
    <w:p w:rsidR="009826AF" w:rsidRDefault="00577A3E">
      <w:pPr>
        <w:pStyle w:val="Heading1"/>
        <w:numPr>
          <w:ilvl w:val="0"/>
          <w:numId w:val="6"/>
        </w:numPr>
        <w:tabs>
          <w:tab w:val="left" w:pos="820"/>
          <w:tab w:val="left" w:pos="821"/>
        </w:tabs>
        <w:ind w:left="820" w:hanging="473"/>
        <w:jc w:val="left"/>
      </w:pPr>
      <w:r>
        <w:t>MONITORING OF BELOW ‘A’</w:t>
      </w:r>
      <w:r>
        <w:rPr>
          <w:spacing w:val="-9"/>
        </w:rPr>
        <w:t xml:space="preserve"> </w:t>
      </w:r>
      <w:r>
        <w:t>CREDITS</w:t>
      </w:r>
    </w:p>
    <w:p w:rsidR="009826AF" w:rsidRDefault="009826AF">
      <w:pPr>
        <w:pStyle w:val="BodyText"/>
        <w:spacing w:before="8"/>
        <w:rPr>
          <w:b/>
          <w:sz w:val="23"/>
        </w:rPr>
      </w:pPr>
    </w:p>
    <w:p w:rsidR="009826AF" w:rsidRDefault="00577A3E">
      <w:pPr>
        <w:pStyle w:val="BodyText"/>
        <w:ind w:left="940" w:right="168"/>
      </w:pPr>
      <w:r>
        <w:t>The Investment Committee will monitor corporate bond holdings that may fall below the ratings threshold for initial purchase.</w:t>
      </w:r>
    </w:p>
    <w:p w:rsidR="009826AF" w:rsidRDefault="009826AF">
      <w:pPr>
        <w:pStyle w:val="BodyText"/>
      </w:pPr>
    </w:p>
    <w:p w:rsidR="009826AF" w:rsidRDefault="00577A3E">
      <w:pPr>
        <w:pStyle w:val="BodyText"/>
        <w:ind w:left="940" w:right="161"/>
      </w:pPr>
      <w:r>
        <w:t>The Investment Manager will compile a report to be reviewed by the Investment Committee on a regular basis, not to be less than quarterly. These holdings, referred to, as “Below ‘A’ Rated Credits” will be monitored for declines in market value compared to current carrying value. The Investment Committee will develop a list of</w:t>
      </w:r>
    </w:p>
    <w:p w:rsidR="009826AF" w:rsidRDefault="009826AF">
      <w:pPr>
        <w:sectPr w:rsidR="009826AF">
          <w:pgSz w:w="12240" w:h="15840"/>
          <w:pgMar w:top="1500" w:right="1340" w:bottom="1620" w:left="1580" w:header="0" w:footer="1435" w:gutter="0"/>
          <w:cols w:space="720"/>
        </w:sectPr>
      </w:pPr>
    </w:p>
    <w:p w:rsidR="009826AF" w:rsidRDefault="00577A3E">
      <w:pPr>
        <w:pStyle w:val="BodyText"/>
        <w:spacing w:before="72"/>
        <w:ind w:left="940" w:right="196"/>
      </w:pPr>
      <w:r>
        <w:lastRenderedPageBreak/>
        <w:t>credits that have fallen below the “A” rating by both major rating agencies (Moody’s and Standard &amp; Poor’s).</w:t>
      </w:r>
    </w:p>
    <w:p w:rsidR="009826AF" w:rsidRDefault="009826AF">
      <w:pPr>
        <w:pStyle w:val="BodyText"/>
      </w:pPr>
    </w:p>
    <w:p w:rsidR="009826AF" w:rsidRDefault="00577A3E">
      <w:pPr>
        <w:pStyle w:val="BodyText"/>
        <w:ind w:left="940"/>
      </w:pPr>
      <w:r>
        <w:t>The Investment Committee will review the list of “Below ‘A” Rated Credits” on a regular basis. Some of the criteria to be utilized in the review process will include but are not limited to:</w:t>
      </w:r>
    </w:p>
    <w:p w:rsidR="009826AF" w:rsidRDefault="009826AF">
      <w:pPr>
        <w:pStyle w:val="BodyText"/>
        <w:spacing w:before="2"/>
      </w:pPr>
    </w:p>
    <w:p w:rsidR="009826AF" w:rsidRDefault="00577A3E">
      <w:pPr>
        <w:pStyle w:val="ListParagraph"/>
        <w:numPr>
          <w:ilvl w:val="1"/>
          <w:numId w:val="6"/>
        </w:numPr>
        <w:tabs>
          <w:tab w:val="left" w:pos="2020"/>
          <w:tab w:val="left" w:pos="2021"/>
        </w:tabs>
        <w:ind w:left="2020"/>
        <w:rPr>
          <w:sz w:val="24"/>
        </w:rPr>
      </w:pPr>
      <w:r>
        <w:rPr>
          <w:sz w:val="24"/>
        </w:rPr>
        <w:t>Credit</w:t>
      </w:r>
      <w:r>
        <w:rPr>
          <w:spacing w:val="-1"/>
          <w:sz w:val="24"/>
        </w:rPr>
        <w:t xml:space="preserve"> </w:t>
      </w:r>
      <w:r>
        <w:rPr>
          <w:sz w:val="24"/>
        </w:rPr>
        <w:t>Ratings</w:t>
      </w:r>
    </w:p>
    <w:p w:rsidR="009826AF" w:rsidRDefault="00577A3E">
      <w:pPr>
        <w:pStyle w:val="ListParagraph"/>
        <w:numPr>
          <w:ilvl w:val="1"/>
          <w:numId w:val="6"/>
        </w:numPr>
        <w:tabs>
          <w:tab w:val="left" w:pos="2020"/>
          <w:tab w:val="left" w:pos="2021"/>
        </w:tabs>
        <w:ind w:left="2020"/>
        <w:rPr>
          <w:sz w:val="24"/>
        </w:rPr>
      </w:pPr>
      <w:r>
        <w:rPr>
          <w:sz w:val="24"/>
        </w:rPr>
        <w:t>Equity Price</w:t>
      </w:r>
      <w:r>
        <w:rPr>
          <w:spacing w:val="-7"/>
          <w:sz w:val="24"/>
        </w:rPr>
        <w:t xml:space="preserve"> </w:t>
      </w:r>
      <w:r>
        <w:rPr>
          <w:sz w:val="24"/>
        </w:rPr>
        <w:t>Trends</w:t>
      </w:r>
    </w:p>
    <w:p w:rsidR="009826AF" w:rsidRDefault="00577A3E">
      <w:pPr>
        <w:pStyle w:val="ListParagraph"/>
        <w:numPr>
          <w:ilvl w:val="1"/>
          <w:numId w:val="6"/>
        </w:numPr>
        <w:tabs>
          <w:tab w:val="left" w:pos="2020"/>
          <w:tab w:val="left" w:pos="2021"/>
        </w:tabs>
        <w:ind w:left="2020"/>
        <w:rPr>
          <w:sz w:val="24"/>
        </w:rPr>
      </w:pPr>
      <w:r>
        <w:rPr>
          <w:sz w:val="24"/>
        </w:rPr>
        <w:t>Market</w:t>
      </w:r>
      <w:r>
        <w:rPr>
          <w:spacing w:val="-1"/>
          <w:sz w:val="24"/>
        </w:rPr>
        <w:t xml:space="preserve"> </w:t>
      </w:r>
      <w:r>
        <w:rPr>
          <w:sz w:val="24"/>
        </w:rPr>
        <w:t>News</w:t>
      </w:r>
    </w:p>
    <w:p w:rsidR="009826AF" w:rsidRDefault="009826AF">
      <w:pPr>
        <w:pStyle w:val="BodyText"/>
        <w:spacing w:before="8"/>
        <w:rPr>
          <w:sz w:val="23"/>
        </w:rPr>
      </w:pPr>
    </w:p>
    <w:p w:rsidR="009826AF" w:rsidRDefault="00577A3E">
      <w:pPr>
        <w:pStyle w:val="BodyText"/>
        <w:spacing w:before="1"/>
        <w:ind w:left="760" w:right="262"/>
      </w:pPr>
      <w:r>
        <w:t>These criteria would be used in the analysis of the retention or disposition decision. The par value of these credits should be limited to 7% of the total market value of the Trust’ fixed income holdings. In the event this limit is triggered, the Investment Committee will make a disposition decision within 90 days.</w:t>
      </w:r>
    </w:p>
    <w:p w:rsidR="009826AF" w:rsidRDefault="009826AF">
      <w:pPr>
        <w:pStyle w:val="BodyText"/>
      </w:pPr>
    </w:p>
    <w:p w:rsidR="009826AF" w:rsidRDefault="00577A3E">
      <w:pPr>
        <w:pStyle w:val="BodyText"/>
        <w:ind w:left="760" w:right="248"/>
      </w:pPr>
      <w:r>
        <w:t xml:space="preserve">In order to maintain this discipline, decisions to dispose of impaired credits </w:t>
      </w:r>
      <w:r>
        <w:rPr>
          <w:u w:val="single"/>
        </w:rPr>
        <w:t>should not</w:t>
      </w:r>
      <w:r>
        <w:t xml:space="preserve"> </w:t>
      </w:r>
      <w:r>
        <w:rPr>
          <w:u w:val="single"/>
        </w:rPr>
        <w:t>be solely based</w:t>
      </w:r>
      <w:r>
        <w:t xml:space="preserve"> upon the following factors:</w:t>
      </w:r>
    </w:p>
    <w:p w:rsidR="009826AF" w:rsidRDefault="009826AF">
      <w:pPr>
        <w:pStyle w:val="BodyText"/>
        <w:spacing w:before="2"/>
      </w:pPr>
    </w:p>
    <w:p w:rsidR="009826AF" w:rsidRDefault="00577A3E">
      <w:pPr>
        <w:pStyle w:val="ListParagraph"/>
        <w:numPr>
          <w:ilvl w:val="1"/>
          <w:numId w:val="6"/>
        </w:numPr>
        <w:tabs>
          <w:tab w:val="left" w:pos="2020"/>
          <w:tab w:val="left" w:pos="2021"/>
        </w:tabs>
        <w:spacing w:line="240" w:lineRule="auto"/>
        <w:ind w:left="2020"/>
        <w:rPr>
          <w:sz w:val="24"/>
        </w:rPr>
      </w:pPr>
      <w:r>
        <w:rPr>
          <w:sz w:val="24"/>
        </w:rPr>
        <w:t>Maturity</w:t>
      </w:r>
      <w:r>
        <w:rPr>
          <w:spacing w:val="-5"/>
          <w:sz w:val="24"/>
        </w:rPr>
        <w:t xml:space="preserve"> </w:t>
      </w:r>
      <w:r>
        <w:rPr>
          <w:sz w:val="24"/>
        </w:rPr>
        <w:t>considerations</w:t>
      </w:r>
    </w:p>
    <w:p w:rsidR="009826AF" w:rsidRDefault="00577A3E">
      <w:pPr>
        <w:pStyle w:val="ListParagraph"/>
        <w:numPr>
          <w:ilvl w:val="1"/>
          <w:numId w:val="6"/>
        </w:numPr>
        <w:tabs>
          <w:tab w:val="left" w:pos="2020"/>
          <w:tab w:val="left" w:pos="2021"/>
        </w:tabs>
        <w:spacing w:before="1"/>
        <w:ind w:left="2020"/>
        <w:rPr>
          <w:sz w:val="24"/>
        </w:rPr>
      </w:pPr>
      <w:r>
        <w:rPr>
          <w:sz w:val="24"/>
        </w:rPr>
        <w:t>Holding yield</w:t>
      </w:r>
    </w:p>
    <w:p w:rsidR="009826AF" w:rsidRDefault="00577A3E">
      <w:pPr>
        <w:pStyle w:val="ListParagraph"/>
        <w:numPr>
          <w:ilvl w:val="1"/>
          <w:numId w:val="6"/>
        </w:numPr>
        <w:tabs>
          <w:tab w:val="left" w:pos="2020"/>
          <w:tab w:val="left" w:pos="2021"/>
        </w:tabs>
        <w:ind w:left="2020"/>
        <w:rPr>
          <w:sz w:val="24"/>
        </w:rPr>
      </w:pPr>
      <w:r>
        <w:rPr>
          <w:sz w:val="24"/>
        </w:rPr>
        <w:t>Earnings</w:t>
      </w:r>
      <w:r>
        <w:rPr>
          <w:spacing w:val="-1"/>
          <w:sz w:val="24"/>
        </w:rPr>
        <w:t xml:space="preserve"> </w:t>
      </w:r>
      <w:r>
        <w:rPr>
          <w:sz w:val="24"/>
        </w:rPr>
        <w:t>management</w:t>
      </w:r>
    </w:p>
    <w:p w:rsidR="009826AF" w:rsidRDefault="00577A3E">
      <w:pPr>
        <w:pStyle w:val="ListParagraph"/>
        <w:numPr>
          <w:ilvl w:val="1"/>
          <w:numId w:val="6"/>
        </w:numPr>
        <w:tabs>
          <w:tab w:val="left" w:pos="2020"/>
          <w:tab w:val="left" w:pos="2021"/>
        </w:tabs>
        <w:ind w:left="2020"/>
        <w:rPr>
          <w:sz w:val="24"/>
        </w:rPr>
      </w:pPr>
      <w:r>
        <w:rPr>
          <w:sz w:val="24"/>
        </w:rPr>
        <w:t>Tax considerations</w:t>
      </w:r>
    </w:p>
    <w:p w:rsidR="009826AF" w:rsidRDefault="009826AF">
      <w:pPr>
        <w:pStyle w:val="BodyText"/>
        <w:rPr>
          <w:sz w:val="28"/>
        </w:rPr>
      </w:pPr>
    </w:p>
    <w:p w:rsidR="009826AF" w:rsidRDefault="00577A3E">
      <w:pPr>
        <w:pStyle w:val="Heading1"/>
        <w:numPr>
          <w:ilvl w:val="0"/>
          <w:numId w:val="6"/>
        </w:numPr>
        <w:tabs>
          <w:tab w:val="left" w:pos="761"/>
        </w:tabs>
        <w:spacing w:before="232"/>
        <w:ind w:hanging="506"/>
        <w:jc w:val="left"/>
      </w:pPr>
      <w:r>
        <w:rPr>
          <w:spacing w:val="2"/>
        </w:rPr>
        <w:t>EQUITY</w:t>
      </w:r>
      <w:r>
        <w:rPr>
          <w:spacing w:val="-1"/>
        </w:rPr>
        <w:t xml:space="preserve"> </w:t>
      </w:r>
      <w:r>
        <w:t>PROCESS</w:t>
      </w:r>
    </w:p>
    <w:p w:rsidR="009826AF" w:rsidRDefault="009826AF">
      <w:pPr>
        <w:pStyle w:val="BodyText"/>
        <w:spacing w:before="9"/>
        <w:rPr>
          <w:b/>
          <w:sz w:val="23"/>
        </w:rPr>
      </w:pPr>
    </w:p>
    <w:p w:rsidR="009826AF" w:rsidRDefault="00577A3E">
      <w:pPr>
        <w:pStyle w:val="ListParagraph"/>
        <w:numPr>
          <w:ilvl w:val="1"/>
          <w:numId w:val="6"/>
        </w:numPr>
        <w:tabs>
          <w:tab w:val="left" w:pos="940"/>
          <w:tab w:val="left" w:pos="941"/>
        </w:tabs>
        <w:spacing w:line="240" w:lineRule="auto"/>
        <w:ind w:left="940"/>
        <w:rPr>
          <w:sz w:val="24"/>
        </w:rPr>
      </w:pPr>
      <w:r>
        <w:rPr>
          <w:sz w:val="24"/>
          <w:u w:val="single"/>
        </w:rPr>
        <w:t>Mutual</w:t>
      </w:r>
      <w:r>
        <w:rPr>
          <w:spacing w:val="-1"/>
          <w:sz w:val="24"/>
          <w:u w:val="single"/>
        </w:rPr>
        <w:t xml:space="preserve"> </w:t>
      </w:r>
      <w:r>
        <w:rPr>
          <w:sz w:val="24"/>
          <w:u w:val="single"/>
        </w:rPr>
        <w:t>Funds</w:t>
      </w:r>
    </w:p>
    <w:p w:rsidR="009826AF" w:rsidRDefault="009826AF">
      <w:pPr>
        <w:pStyle w:val="BodyText"/>
        <w:spacing w:before="11"/>
        <w:rPr>
          <w:sz w:val="15"/>
        </w:rPr>
      </w:pPr>
    </w:p>
    <w:p w:rsidR="009826AF" w:rsidRDefault="00577A3E">
      <w:pPr>
        <w:pStyle w:val="BodyText"/>
        <w:spacing w:before="90"/>
        <w:ind w:left="1660" w:right="262"/>
      </w:pPr>
      <w:r>
        <w:t>The Investment Manager will employ Mutual Funds and Exchange Traded Funds for the allocation to Global and Small-Cap sectors. Generally, the Large Cap sector will be allocated to some mix of Mutual Funds, Exchange Traded Funds and individual stock holdings.</w:t>
      </w:r>
    </w:p>
    <w:p w:rsidR="009826AF" w:rsidRDefault="009826AF">
      <w:pPr>
        <w:pStyle w:val="BodyText"/>
        <w:spacing w:before="11"/>
        <w:rPr>
          <w:sz w:val="23"/>
        </w:rPr>
      </w:pPr>
    </w:p>
    <w:p w:rsidR="009826AF" w:rsidRDefault="00577A3E">
      <w:pPr>
        <w:pStyle w:val="BodyText"/>
        <w:ind w:left="1660" w:right="87"/>
      </w:pPr>
      <w:r>
        <w:t>Mutual Funds holdings will be limited to funds rated “4 Stars” or better by Morningstar at time of initial purchase. The Investment Manager will be responsible for monitoring the funds. Should the Morningstar rating fall below the guideline the fund will be monitored by the Investment Manager and liquidation will be considered.</w:t>
      </w:r>
    </w:p>
    <w:p w:rsidR="009826AF" w:rsidRDefault="009826AF">
      <w:pPr>
        <w:pStyle w:val="BodyText"/>
        <w:spacing w:before="1"/>
      </w:pPr>
    </w:p>
    <w:p w:rsidR="009826AF" w:rsidRDefault="00577A3E">
      <w:pPr>
        <w:pStyle w:val="BodyText"/>
        <w:ind w:left="1660" w:right="172"/>
        <w:jc w:val="both"/>
      </w:pPr>
      <w:r>
        <w:t>The Investment Manager will regularly monitor the performance of the funds owned by the pension system to include not only recent performance, but also the historical returns.</w:t>
      </w:r>
    </w:p>
    <w:p w:rsidR="009826AF" w:rsidRDefault="009826AF">
      <w:pPr>
        <w:jc w:val="both"/>
        <w:sectPr w:rsidR="009826AF">
          <w:pgSz w:w="12240" w:h="15840"/>
          <w:pgMar w:top="1360" w:right="1340" w:bottom="1620" w:left="1580" w:header="0" w:footer="1435" w:gutter="0"/>
          <w:cols w:space="720"/>
        </w:sectPr>
      </w:pPr>
    </w:p>
    <w:p w:rsidR="009826AF" w:rsidRDefault="009826AF">
      <w:pPr>
        <w:pStyle w:val="BodyText"/>
        <w:spacing w:before="6"/>
        <w:rPr>
          <w:sz w:val="9"/>
        </w:rPr>
      </w:pPr>
    </w:p>
    <w:p w:rsidR="009826AF" w:rsidRDefault="00577A3E">
      <w:pPr>
        <w:pStyle w:val="ListParagraph"/>
        <w:numPr>
          <w:ilvl w:val="1"/>
          <w:numId w:val="6"/>
        </w:numPr>
        <w:tabs>
          <w:tab w:val="left" w:pos="940"/>
          <w:tab w:val="left" w:pos="941"/>
        </w:tabs>
        <w:spacing w:before="101" w:line="240" w:lineRule="auto"/>
        <w:ind w:left="940"/>
        <w:rPr>
          <w:sz w:val="24"/>
        </w:rPr>
      </w:pPr>
      <w:r>
        <w:rPr>
          <w:sz w:val="24"/>
          <w:u w:val="single"/>
        </w:rPr>
        <w:t>Individual Equity Holdings (Large</w:t>
      </w:r>
      <w:r>
        <w:rPr>
          <w:spacing w:val="-7"/>
          <w:sz w:val="24"/>
          <w:u w:val="single"/>
        </w:rPr>
        <w:t xml:space="preserve"> </w:t>
      </w:r>
      <w:r>
        <w:rPr>
          <w:sz w:val="24"/>
          <w:u w:val="single"/>
        </w:rPr>
        <w:t>Caps)</w:t>
      </w:r>
    </w:p>
    <w:p w:rsidR="009826AF" w:rsidRDefault="009826AF">
      <w:pPr>
        <w:pStyle w:val="BodyText"/>
        <w:spacing w:before="10"/>
        <w:rPr>
          <w:sz w:val="15"/>
        </w:rPr>
      </w:pPr>
    </w:p>
    <w:p w:rsidR="009826AF" w:rsidRDefault="00577A3E">
      <w:pPr>
        <w:pStyle w:val="ListParagraph"/>
        <w:numPr>
          <w:ilvl w:val="0"/>
          <w:numId w:val="1"/>
        </w:numPr>
        <w:tabs>
          <w:tab w:val="left" w:pos="1661"/>
        </w:tabs>
        <w:spacing w:before="90" w:line="240" w:lineRule="auto"/>
        <w:rPr>
          <w:sz w:val="24"/>
        </w:rPr>
      </w:pPr>
      <w:r>
        <w:rPr>
          <w:sz w:val="24"/>
        </w:rPr>
        <w:t>Independent Analysts’ Recommendations</w:t>
      </w:r>
    </w:p>
    <w:p w:rsidR="009826AF" w:rsidRDefault="00577A3E">
      <w:pPr>
        <w:pStyle w:val="BodyText"/>
        <w:ind w:left="2380"/>
      </w:pPr>
      <w:r>
        <w:t>On a monthly basis the Manager will review the analysts’ recommendations for all current holdings and for those under consideration for inclusion in the portfolio</w:t>
      </w:r>
    </w:p>
    <w:p w:rsidR="009826AF" w:rsidRDefault="009826AF">
      <w:pPr>
        <w:pStyle w:val="BodyText"/>
      </w:pPr>
    </w:p>
    <w:p w:rsidR="009826AF" w:rsidRDefault="00577A3E">
      <w:pPr>
        <w:pStyle w:val="BodyText"/>
        <w:ind w:left="2380" w:right="122"/>
      </w:pPr>
      <w:r>
        <w:t>Our approach to using independent analysts is based on the belief that these groups are not coming from a “sell side” approach. This approach avoids any conflict of interest which may occur when an analyst touts a credit within the context of an investment banking relationship. The recommendations are buy, sell or hold. Our approach is to look for a preponderance of opinion.</w:t>
      </w:r>
    </w:p>
    <w:p w:rsidR="009826AF" w:rsidRDefault="009826AF">
      <w:pPr>
        <w:pStyle w:val="BodyText"/>
        <w:spacing w:before="1"/>
      </w:pPr>
    </w:p>
    <w:p w:rsidR="009826AF" w:rsidRDefault="00577A3E">
      <w:pPr>
        <w:pStyle w:val="ListParagraph"/>
        <w:numPr>
          <w:ilvl w:val="0"/>
          <w:numId w:val="1"/>
        </w:numPr>
        <w:tabs>
          <w:tab w:val="left" w:pos="1661"/>
        </w:tabs>
        <w:spacing w:line="240" w:lineRule="auto"/>
        <w:rPr>
          <w:sz w:val="24"/>
        </w:rPr>
      </w:pPr>
      <w:r>
        <w:rPr>
          <w:sz w:val="24"/>
        </w:rPr>
        <w:t>Technical</w:t>
      </w:r>
      <w:r>
        <w:rPr>
          <w:spacing w:val="-1"/>
          <w:sz w:val="24"/>
        </w:rPr>
        <w:t xml:space="preserve"> </w:t>
      </w:r>
      <w:r>
        <w:rPr>
          <w:sz w:val="24"/>
        </w:rPr>
        <w:t>Analysis</w:t>
      </w:r>
    </w:p>
    <w:p w:rsidR="009826AF" w:rsidRDefault="00577A3E">
      <w:pPr>
        <w:pStyle w:val="BodyText"/>
        <w:ind w:left="2380" w:right="378"/>
        <w:jc w:val="both"/>
      </w:pPr>
      <w:r>
        <w:t>On a monthly basis the price graph is reviewed for each current and prospective holding. The 200-day moving average is examined for a technical approach to the buy/sell decision.</w:t>
      </w:r>
    </w:p>
    <w:p w:rsidR="009826AF" w:rsidRDefault="009826AF">
      <w:pPr>
        <w:pStyle w:val="BodyText"/>
      </w:pPr>
    </w:p>
    <w:p w:rsidR="009826AF" w:rsidRDefault="00577A3E">
      <w:pPr>
        <w:pStyle w:val="ListParagraph"/>
        <w:numPr>
          <w:ilvl w:val="0"/>
          <w:numId w:val="1"/>
        </w:numPr>
        <w:tabs>
          <w:tab w:val="left" w:pos="1661"/>
        </w:tabs>
        <w:spacing w:line="240" w:lineRule="auto"/>
        <w:rPr>
          <w:sz w:val="24"/>
        </w:rPr>
      </w:pPr>
      <w:r>
        <w:rPr>
          <w:sz w:val="24"/>
        </w:rPr>
        <w:t>Fundamental</w:t>
      </w:r>
      <w:r>
        <w:rPr>
          <w:spacing w:val="-1"/>
          <w:sz w:val="24"/>
        </w:rPr>
        <w:t xml:space="preserve"> </w:t>
      </w:r>
      <w:r>
        <w:rPr>
          <w:sz w:val="24"/>
        </w:rPr>
        <w:t>Analysis</w:t>
      </w:r>
    </w:p>
    <w:p w:rsidR="009826AF" w:rsidRDefault="00577A3E">
      <w:pPr>
        <w:pStyle w:val="BodyText"/>
        <w:ind w:left="2380"/>
      </w:pPr>
      <w:r>
        <w:t>On a monthly basis, Bloomberg analytics is used to produce a relative value analysis for each holding, both current and prospective.</w:t>
      </w:r>
    </w:p>
    <w:p w:rsidR="009826AF" w:rsidRDefault="009826AF">
      <w:pPr>
        <w:pStyle w:val="BodyText"/>
      </w:pPr>
    </w:p>
    <w:p w:rsidR="009826AF" w:rsidRDefault="00577A3E">
      <w:pPr>
        <w:pStyle w:val="BodyText"/>
        <w:ind w:left="2380" w:right="395"/>
      </w:pPr>
      <w:r>
        <w:t>The metrics currently being utilized are Price/Earnings, Price/Book, Dividend Discount Model, Price/Sales and Free Cash Flow. These metrics are analyzed to look for relative value within an industry group.</w:t>
      </w:r>
    </w:p>
    <w:p w:rsidR="009826AF" w:rsidRDefault="009826AF">
      <w:pPr>
        <w:pStyle w:val="BodyText"/>
      </w:pPr>
    </w:p>
    <w:p w:rsidR="009826AF" w:rsidRDefault="00577A3E">
      <w:pPr>
        <w:pStyle w:val="ListParagraph"/>
        <w:numPr>
          <w:ilvl w:val="0"/>
          <w:numId w:val="1"/>
        </w:numPr>
        <w:tabs>
          <w:tab w:val="left" w:pos="1661"/>
        </w:tabs>
        <w:spacing w:line="240" w:lineRule="auto"/>
        <w:rPr>
          <w:sz w:val="24"/>
        </w:rPr>
      </w:pPr>
      <w:r>
        <w:rPr>
          <w:sz w:val="24"/>
        </w:rPr>
        <w:t>Buy/Sell</w:t>
      </w:r>
      <w:r>
        <w:rPr>
          <w:spacing w:val="-1"/>
          <w:sz w:val="24"/>
        </w:rPr>
        <w:t xml:space="preserve"> </w:t>
      </w:r>
      <w:r>
        <w:rPr>
          <w:sz w:val="24"/>
        </w:rPr>
        <w:t>Decision</w:t>
      </w:r>
    </w:p>
    <w:p w:rsidR="009826AF" w:rsidRDefault="00577A3E">
      <w:pPr>
        <w:pStyle w:val="BodyText"/>
        <w:ind w:left="2380"/>
      </w:pPr>
      <w:r>
        <w:t>Generally, we are working from a consensus approach. We are looking for a consensus of opinion from the three types of anlysis.</w:t>
      </w:r>
    </w:p>
    <w:p w:rsidR="009826AF" w:rsidRDefault="00577A3E">
      <w:pPr>
        <w:pStyle w:val="BodyText"/>
        <w:spacing w:before="1"/>
        <w:ind w:left="2380"/>
      </w:pPr>
      <w:r>
        <w:t>If the analysts’ recommendation results in a “Buy” we are looking for confirmation of that from at least one of the other two analyses.</w:t>
      </w:r>
    </w:p>
    <w:p w:rsidR="009826AF" w:rsidRDefault="00577A3E">
      <w:pPr>
        <w:pStyle w:val="BodyText"/>
        <w:ind w:left="2380" w:right="788"/>
      </w:pPr>
      <w:r>
        <w:t>This approach is applied to current holdings as well those under consideration for inclusion in the portfolio.</w:t>
      </w:r>
    </w:p>
    <w:p w:rsidR="009826AF" w:rsidRDefault="009826AF">
      <w:pPr>
        <w:pStyle w:val="BodyText"/>
        <w:spacing w:before="11"/>
        <w:rPr>
          <w:sz w:val="23"/>
        </w:rPr>
      </w:pPr>
    </w:p>
    <w:p w:rsidR="009826AF" w:rsidRDefault="00577A3E">
      <w:pPr>
        <w:pStyle w:val="ListParagraph"/>
        <w:numPr>
          <w:ilvl w:val="0"/>
          <w:numId w:val="1"/>
        </w:numPr>
        <w:tabs>
          <w:tab w:val="left" w:pos="1661"/>
        </w:tabs>
        <w:spacing w:line="240" w:lineRule="auto"/>
        <w:rPr>
          <w:sz w:val="24"/>
        </w:rPr>
      </w:pPr>
      <w:r>
        <w:rPr>
          <w:sz w:val="24"/>
        </w:rPr>
        <w:t>Portfolio</w:t>
      </w:r>
      <w:r>
        <w:rPr>
          <w:spacing w:val="-1"/>
          <w:sz w:val="24"/>
        </w:rPr>
        <w:t xml:space="preserve"> </w:t>
      </w:r>
      <w:r>
        <w:rPr>
          <w:sz w:val="24"/>
        </w:rPr>
        <w:t>Disciplines</w:t>
      </w:r>
    </w:p>
    <w:p w:rsidR="009826AF" w:rsidRDefault="00577A3E">
      <w:pPr>
        <w:pStyle w:val="BodyText"/>
        <w:spacing w:before="1"/>
        <w:ind w:left="2380"/>
      </w:pPr>
      <w:r>
        <w:t>Generally, our approach would be to limit exposure to 4% of the portfolio market value to a single issuer.</w:t>
      </w:r>
    </w:p>
    <w:p w:rsidR="009826AF" w:rsidRDefault="009826AF">
      <w:pPr>
        <w:pStyle w:val="BodyText"/>
      </w:pPr>
    </w:p>
    <w:p w:rsidR="009826AF" w:rsidRDefault="00577A3E">
      <w:pPr>
        <w:pStyle w:val="BodyText"/>
        <w:ind w:left="2380" w:right="509"/>
      </w:pPr>
      <w:r>
        <w:t>Our approach also includes a consideration of sector exposure. We monitor the sector exposure of the portfolio versus that of the exposure within approximately 10% of the</w:t>
      </w:r>
    </w:p>
    <w:p w:rsidR="009826AF" w:rsidRDefault="00577A3E">
      <w:pPr>
        <w:pStyle w:val="BodyText"/>
        <w:ind w:left="2380"/>
      </w:pPr>
      <w:r>
        <w:t>S&amp;P 500 Index exposure.</w:t>
      </w:r>
    </w:p>
    <w:p w:rsidR="009826AF" w:rsidRDefault="009826AF">
      <w:pPr>
        <w:sectPr w:rsidR="009826AF">
          <w:pgSz w:w="12240" w:h="15840"/>
          <w:pgMar w:top="1500" w:right="1340" w:bottom="1620" w:left="1580" w:header="0" w:footer="1435" w:gutter="0"/>
          <w:cols w:space="720"/>
        </w:sectPr>
      </w:pPr>
    </w:p>
    <w:p w:rsidR="009826AF" w:rsidRDefault="009826AF">
      <w:pPr>
        <w:pStyle w:val="BodyText"/>
        <w:spacing w:before="8"/>
        <w:rPr>
          <w:sz w:val="10"/>
        </w:rPr>
      </w:pPr>
    </w:p>
    <w:p w:rsidR="009826AF" w:rsidRDefault="00577A3E">
      <w:pPr>
        <w:pStyle w:val="Heading1"/>
        <w:spacing w:before="90"/>
        <w:ind w:left="1626" w:right="1512"/>
        <w:jc w:val="center"/>
      </w:pPr>
      <w:r>
        <w:t>MCHCP STATE RETIREE WELFARE BENEFIT TRUST</w:t>
      </w:r>
    </w:p>
    <w:p w:rsidR="009826AF" w:rsidRDefault="00577A3E">
      <w:pPr>
        <w:spacing w:before="1" w:after="2"/>
        <w:ind w:left="1626" w:right="1509"/>
        <w:jc w:val="center"/>
        <w:rPr>
          <w:b/>
          <w:sz w:val="28"/>
        </w:rPr>
      </w:pPr>
      <w:r>
        <w:rPr>
          <w:b/>
          <w:sz w:val="28"/>
        </w:rPr>
        <w:t>Specific Investment Guidelines by Security Type</w:t>
      </w: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9"/>
        <w:gridCol w:w="5869"/>
      </w:tblGrid>
      <w:tr w:rsidR="009826AF">
        <w:trPr>
          <w:trHeight w:val="827"/>
        </w:trPr>
        <w:tc>
          <w:tcPr>
            <w:tcW w:w="2989" w:type="dxa"/>
          </w:tcPr>
          <w:p w:rsidR="009826AF" w:rsidRDefault="00577A3E">
            <w:pPr>
              <w:pStyle w:val="TableParagraph"/>
              <w:spacing w:line="268" w:lineRule="exact"/>
              <w:rPr>
                <w:sz w:val="24"/>
              </w:rPr>
            </w:pPr>
            <w:r>
              <w:rPr>
                <w:sz w:val="24"/>
              </w:rPr>
              <w:t>U.S. Treasury &amp; Gov’t</w:t>
            </w:r>
          </w:p>
          <w:p w:rsidR="009826AF" w:rsidRDefault="00577A3E">
            <w:pPr>
              <w:pStyle w:val="TableParagraph"/>
              <w:spacing w:line="270" w:lineRule="atLeast"/>
              <w:ind w:right="699"/>
              <w:rPr>
                <w:sz w:val="24"/>
              </w:rPr>
            </w:pPr>
            <w:r>
              <w:rPr>
                <w:sz w:val="24"/>
              </w:rPr>
              <w:t>Sponsored Enterprises (GSEs)</w:t>
            </w:r>
          </w:p>
        </w:tc>
        <w:tc>
          <w:tcPr>
            <w:tcW w:w="5869" w:type="dxa"/>
          </w:tcPr>
          <w:p w:rsidR="009826AF" w:rsidRDefault="00577A3E">
            <w:pPr>
              <w:pStyle w:val="TableParagraph"/>
              <w:spacing w:line="268" w:lineRule="exact"/>
              <w:rPr>
                <w:sz w:val="24"/>
              </w:rPr>
            </w:pPr>
            <w:r>
              <w:rPr>
                <w:sz w:val="24"/>
              </w:rPr>
              <w:t>Not &lt; 5% of the market value of invested assets.</w:t>
            </w:r>
          </w:p>
        </w:tc>
      </w:tr>
      <w:tr w:rsidR="009826AF">
        <w:trPr>
          <w:trHeight w:val="827"/>
        </w:trPr>
        <w:tc>
          <w:tcPr>
            <w:tcW w:w="2989" w:type="dxa"/>
          </w:tcPr>
          <w:p w:rsidR="009826AF" w:rsidRDefault="00577A3E">
            <w:pPr>
              <w:pStyle w:val="TableParagraph"/>
              <w:ind w:right="112"/>
              <w:rPr>
                <w:sz w:val="24"/>
              </w:rPr>
            </w:pPr>
            <w:r>
              <w:rPr>
                <w:sz w:val="24"/>
              </w:rPr>
              <w:t>Mortgage-Backed Securities (MBS)</w:t>
            </w:r>
          </w:p>
        </w:tc>
        <w:tc>
          <w:tcPr>
            <w:tcW w:w="5869" w:type="dxa"/>
          </w:tcPr>
          <w:p w:rsidR="009826AF" w:rsidRDefault="00577A3E">
            <w:pPr>
              <w:pStyle w:val="TableParagraph"/>
              <w:ind w:right="273"/>
              <w:rPr>
                <w:sz w:val="24"/>
              </w:rPr>
            </w:pPr>
            <w:r>
              <w:rPr>
                <w:sz w:val="24"/>
              </w:rPr>
              <w:t>Not &gt; 30% of the market value of invested assets. Limited to 5% of the market value of invested assets in a</w:t>
            </w:r>
          </w:p>
          <w:p w:rsidR="009826AF" w:rsidRDefault="00577A3E">
            <w:pPr>
              <w:pStyle w:val="TableParagraph"/>
              <w:spacing w:line="264" w:lineRule="exact"/>
              <w:rPr>
                <w:sz w:val="24"/>
              </w:rPr>
            </w:pPr>
            <w:r>
              <w:rPr>
                <w:sz w:val="24"/>
              </w:rPr>
              <w:t>single pool.</w:t>
            </w:r>
          </w:p>
        </w:tc>
      </w:tr>
      <w:tr w:rsidR="009826AF">
        <w:trPr>
          <w:trHeight w:val="830"/>
        </w:trPr>
        <w:tc>
          <w:tcPr>
            <w:tcW w:w="2989" w:type="dxa"/>
          </w:tcPr>
          <w:p w:rsidR="009826AF" w:rsidRDefault="00577A3E">
            <w:pPr>
              <w:pStyle w:val="TableParagraph"/>
              <w:ind w:right="512"/>
              <w:rPr>
                <w:sz w:val="24"/>
              </w:rPr>
            </w:pPr>
            <w:r>
              <w:rPr>
                <w:sz w:val="24"/>
              </w:rPr>
              <w:t>U.S. Agency-Backed Collateralized Mortgage</w:t>
            </w:r>
          </w:p>
          <w:p w:rsidR="009826AF" w:rsidRDefault="00577A3E">
            <w:pPr>
              <w:pStyle w:val="TableParagraph"/>
              <w:spacing w:line="264" w:lineRule="exact"/>
              <w:rPr>
                <w:sz w:val="24"/>
              </w:rPr>
            </w:pPr>
            <w:r>
              <w:rPr>
                <w:sz w:val="24"/>
              </w:rPr>
              <w:t>Obligations (CMOs) Bonds</w:t>
            </w:r>
          </w:p>
        </w:tc>
        <w:tc>
          <w:tcPr>
            <w:tcW w:w="5869" w:type="dxa"/>
          </w:tcPr>
          <w:p w:rsidR="009826AF" w:rsidRDefault="00577A3E">
            <w:pPr>
              <w:pStyle w:val="TableParagraph"/>
              <w:ind w:right="440"/>
              <w:rPr>
                <w:sz w:val="24"/>
              </w:rPr>
            </w:pPr>
            <w:r>
              <w:rPr>
                <w:sz w:val="24"/>
              </w:rPr>
              <w:t>Not &gt; 30% of the market value of invested assets. Limited to 5% of the market value of invested assets in</w:t>
            </w:r>
          </w:p>
          <w:p w:rsidR="009826AF" w:rsidRDefault="00577A3E">
            <w:pPr>
              <w:pStyle w:val="TableParagraph"/>
              <w:spacing w:line="264" w:lineRule="exact"/>
              <w:rPr>
                <w:sz w:val="24"/>
              </w:rPr>
            </w:pPr>
            <w:r>
              <w:rPr>
                <w:sz w:val="24"/>
              </w:rPr>
              <w:t>any one tranche.</w:t>
            </w:r>
          </w:p>
        </w:tc>
      </w:tr>
      <w:tr w:rsidR="009826AF">
        <w:trPr>
          <w:trHeight w:val="828"/>
        </w:trPr>
        <w:tc>
          <w:tcPr>
            <w:tcW w:w="2989" w:type="dxa"/>
          </w:tcPr>
          <w:p w:rsidR="009826AF" w:rsidRDefault="00577A3E">
            <w:pPr>
              <w:pStyle w:val="TableParagraph"/>
              <w:spacing w:line="268" w:lineRule="exact"/>
              <w:rPr>
                <w:sz w:val="24"/>
              </w:rPr>
            </w:pPr>
            <w:r>
              <w:rPr>
                <w:sz w:val="24"/>
              </w:rPr>
              <w:t>U.S. Corporate Bonds</w:t>
            </w:r>
          </w:p>
        </w:tc>
        <w:tc>
          <w:tcPr>
            <w:tcW w:w="5869" w:type="dxa"/>
          </w:tcPr>
          <w:p w:rsidR="009826AF" w:rsidRDefault="00577A3E">
            <w:pPr>
              <w:pStyle w:val="TableParagraph"/>
              <w:spacing w:line="268" w:lineRule="exact"/>
              <w:rPr>
                <w:sz w:val="24"/>
              </w:rPr>
            </w:pPr>
            <w:r>
              <w:rPr>
                <w:sz w:val="24"/>
              </w:rPr>
              <w:t>Not &gt; 40% of the market value of invested assets.</w:t>
            </w:r>
          </w:p>
          <w:p w:rsidR="009826AF" w:rsidRDefault="00577A3E">
            <w:pPr>
              <w:pStyle w:val="TableParagraph"/>
              <w:spacing w:line="270" w:lineRule="atLeast"/>
              <w:ind w:right="486"/>
              <w:rPr>
                <w:sz w:val="24"/>
              </w:rPr>
            </w:pPr>
            <w:r>
              <w:rPr>
                <w:sz w:val="24"/>
              </w:rPr>
              <w:t>Limited to 2% of the market value of assets in any one name.</w:t>
            </w:r>
          </w:p>
        </w:tc>
      </w:tr>
      <w:tr w:rsidR="009826AF">
        <w:trPr>
          <w:trHeight w:val="827"/>
        </w:trPr>
        <w:tc>
          <w:tcPr>
            <w:tcW w:w="2989" w:type="dxa"/>
          </w:tcPr>
          <w:p w:rsidR="009826AF" w:rsidRDefault="00577A3E">
            <w:pPr>
              <w:pStyle w:val="TableParagraph"/>
              <w:spacing w:line="268" w:lineRule="exact"/>
              <w:rPr>
                <w:sz w:val="24"/>
              </w:rPr>
            </w:pPr>
            <w:r>
              <w:rPr>
                <w:sz w:val="24"/>
              </w:rPr>
              <w:t>Whole Loan Collateralized</w:t>
            </w:r>
          </w:p>
          <w:p w:rsidR="009826AF" w:rsidRDefault="00577A3E">
            <w:pPr>
              <w:pStyle w:val="TableParagraph"/>
              <w:spacing w:line="270" w:lineRule="atLeast"/>
              <w:ind w:right="738"/>
              <w:rPr>
                <w:sz w:val="24"/>
              </w:rPr>
            </w:pPr>
            <w:r>
              <w:rPr>
                <w:sz w:val="24"/>
              </w:rPr>
              <w:t>Mortgage Obligations (CMOs)</w:t>
            </w:r>
          </w:p>
        </w:tc>
        <w:tc>
          <w:tcPr>
            <w:tcW w:w="5869" w:type="dxa"/>
          </w:tcPr>
          <w:p w:rsidR="009826AF" w:rsidRDefault="00577A3E">
            <w:pPr>
              <w:pStyle w:val="TableParagraph"/>
              <w:spacing w:line="268" w:lineRule="exact"/>
              <w:rPr>
                <w:sz w:val="24"/>
              </w:rPr>
            </w:pPr>
            <w:r>
              <w:rPr>
                <w:sz w:val="24"/>
              </w:rPr>
              <w:t>Not &gt; 10% of the market value of invested assets.</w:t>
            </w:r>
          </w:p>
          <w:p w:rsidR="009826AF" w:rsidRDefault="00577A3E">
            <w:pPr>
              <w:pStyle w:val="TableParagraph"/>
              <w:spacing w:line="270" w:lineRule="atLeast"/>
              <w:ind w:right="440"/>
              <w:rPr>
                <w:sz w:val="24"/>
              </w:rPr>
            </w:pPr>
            <w:r>
              <w:rPr>
                <w:sz w:val="24"/>
              </w:rPr>
              <w:t>Limited to 3% of the market value of invested assets in any one tranche.</w:t>
            </w:r>
          </w:p>
        </w:tc>
      </w:tr>
      <w:tr w:rsidR="009826AF">
        <w:trPr>
          <w:trHeight w:val="827"/>
        </w:trPr>
        <w:tc>
          <w:tcPr>
            <w:tcW w:w="2989" w:type="dxa"/>
          </w:tcPr>
          <w:p w:rsidR="009826AF" w:rsidRDefault="00577A3E">
            <w:pPr>
              <w:pStyle w:val="TableParagraph"/>
              <w:ind w:right="239"/>
              <w:rPr>
                <w:sz w:val="24"/>
              </w:rPr>
            </w:pPr>
            <w:r>
              <w:rPr>
                <w:sz w:val="24"/>
              </w:rPr>
              <w:t>Commercial Mortgage- Backed Securities (CMBS)</w:t>
            </w:r>
          </w:p>
          <w:p w:rsidR="009826AF" w:rsidRDefault="00577A3E">
            <w:pPr>
              <w:pStyle w:val="TableParagraph"/>
              <w:spacing w:line="264" w:lineRule="exact"/>
              <w:rPr>
                <w:sz w:val="24"/>
              </w:rPr>
            </w:pPr>
            <w:r>
              <w:rPr>
                <w:sz w:val="24"/>
              </w:rPr>
              <w:t>and Asset-Backed Securities</w:t>
            </w:r>
          </w:p>
        </w:tc>
        <w:tc>
          <w:tcPr>
            <w:tcW w:w="5869" w:type="dxa"/>
          </w:tcPr>
          <w:p w:rsidR="009826AF" w:rsidRDefault="00577A3E">
            <w:pPr>
              <w:pStyle w:val="TableParagraph"/>
              <w:ind w:right="273"/>
              <w:rPr>
                <w:sz w:val="24"/>
              </w:rPr>
            </w:pPr>
            <w:r>
              <w:rPr>
                <w:sz w:val="24"/>
              </w:rPr>
              <w:t>Not &gt; 10% of the market value of invested assets. Limited to 3% of the market value of invested assets in a</w:t>
            </w:r>
          </w:p>
          <w:p w:rsidR="009826AF" w:rsidRDefault="00577A3E">
            <w:pPr>
              <w:pStyle w:val="TableParagraph"/>
              <w:spacing w:line="264" w:lineRule="exact"/>
              <w:rPr>
                <w:sz w:val="24"/>
              </w:rPr>
            </w:pPr>
            <w:r>
              <w:rPr>
                <w:sz w:val="24"/>
              </w:rPr>
              <w:t>single pool.</w:t>
            </w:r>
          </w:p>
        </w:tc>
      </w:tr>
      <w:tr w:rsidR="009826AF">
        <w:trPr>
          <w:trHeight w:val="827"/>
        </w:trPr>
        <w:tc>
          <w:tcPr>
            <w:tcW w:w="2989" w:type="dxa"/>
          </w:tcPr>
          <w:p w:rsidR="009826AF" w:rsidRDefault="00577A3E">
            <w:pPr>
              <w:pStyle w:val="TableParagraph"/>
              <w:ind w:right="152"/>
              <w:rPr>
                <w:sz w:val="24"/>
              </w:rPr>
            </w:pPr>
            <w:r>
              <w:rPr>
                <w:sz w:val="24"/>
              </w:rPr>
              <w:t>Common Stock &amp; Preferred Stock &amp; Mutual Funds</w:t>
            </w:r>
          </w:p>
        </w:tc>
        <w:tc>
          <w:tcPr>
            <w:tcW w:w="5869" w:type="dxa"/>
          </w:tcPr>
          <w:p w:rsidR="009826AF" w:rsidRDefault="00577A3E">
            <w:pPr>
              <w:pStyle w:val="TableParagraph"/>
              <w:ind w:right="31"/>
              <w:rPr>
                <w:sz w:val="24"/>
              </w:rPr>
            </w:pPr>
            <w:r>
              <w:rPr>
                <w:sz w:val="24"/>
              </w:rPr>
              <w:t>Not &gt; 50% of the market value of invested assets (excluding subsidiaries &amp; affiliates). Limited to 4% of the</w:t>
            </w:r>
          </w:p>
          <w:p w:rsidR="009826AF" w:rsidRDefault="00577A3E">
            <w:pPr>
              <w:pStyle w:val="TableParagraph"/>
              <w:spacing w:line="264" w:lineRule="exact"/>
              <w:rPr>
                <w:sz w:val="24"/>
              </w:rPr>
            </w:pPr>
            <w:r>
              <w:rPr>
                <w:sz w:val="24"/>
              </w:rPr>
              <w:t>market value of invested equity assets in any one credit.</w:t>
            </w:r>
          </w:p>
        </w:tc>
      </w:tr>
      <w:tr w:rsidR="009826AF">
        <w:trPr>
          <w:trHeight w:val="828"/>
        </w:trPr>
        <w:tc>
          <w:tcPr>
            <w:tcW w:w="2989" w:type="dxa"/>
          </w:tcPr>
          <w:p w:rsidR="009826AF" w:rsidRDefault="00577A3E">
            <w:pPr>
              <w:pStyle w:val="TableParagraph"/>
              <w:spacing w:line="268" w:lineRule="exact"/>
              <w:rPr>
                <w:sz w:val="24"/>
              </w:rPr>
            </w:pPr>
            <w:r>
              <w:rPr>
                <w:sz w:val="24"/>
              </w:rPr>
              <w:t>Foreign Equities</w:t>
            </w:r>
          </w:p>
        </w:tc>
        <w:tc>
          <w:tcPr>
            <w:tcW w:w="5869" w:type="dxa"/>
          </w:tcPr>
          <w:p w:rsidR="009826AF" w:rsidRDefault="00577A3E">
            <w:pPr>
              <w:pStyle w:val="TableParagraph"/>
              <w:spacing w:line="268" w:lineRule="exact"/>
              <w:rPr>
                <w:sz w:val="24"/>
              </w:rPr>
            </w:pPr>
            <w:r>
              <w:rPr>
                <w:sz w:val="24"/>
              </w:rPr>
              <w:t>Not &gt; 20% of the market value of invested assets</w:t>
            </w:r>
          </w:p>
          <w:p w:rsidR="009826AF" w:rsidRDefault="00577A3E">
            <w:pPr>
              <w:pStyle w:val="TableParagraph"/>
              <w:spacing w:line="270" w:lineRule="atLeast"/>
              <w:rPr>
                <w:sz w:val="24"/>
              </w:rPr>
            </w:pPr>
            <w:r>
              <w:rPr>
                <w:sz w:val="24"/>
              </w:rPr>
              <w:t>(excluding subsidiaries &amp; affiliates). Limited to 1% of the market value of invested assets in any one name</w:t>
            </w:r>
          </w:p>
        </w:tc>
      </w:tr>
      <w:tr w:rsidR="009826AF">
        <w:trPr>
          <w:trHeight w:val="551"/>
        </w:trPr>
        <w:tc>
          <w:tcPr>
            <w:tcW w:w="2989" w:type="dxa"/>
          </w:tcPr>
          <w:p w:rsidR="009826AF" w:rsidRDefault="00577A3E">
            <w:pPr>
              <w:pStyle w:val="TableParagraph"/>
              <w:spacing w:line="268" w:lineRule="exact"/>
              <w:rPr>
                <w:sz w:val="24"/>
              </w:rPr>
            </w:pPr>
            <w:r>
              <w:rPr>
                <w:sz w:val="24"/>
              </w:rPr>
              <w:t>Foreign Bonds</w:t>
            </w:r>
          </w:p>
        </w:tc>
        <w:tc>
          <w:tcPr>
            <w:tcW w:w="5869" w:type="dxa"/>
          </w:tcPr>
          <w:p w:rsidR="009826AF" w:rsidRDefault="00577A3E">
            <w:pPr>
              <w:pStyle w:val="TableParagraph"/>
              <w:spacing w:line="268" w:lineRule="exact"/>
              <w:rPr>
                <w:sz w:val="24"/>
              </w:rPr>
            </w:pPr>
            <w:r>
              <w:rPr>
                <w:sz w:val="24"/>
              </w:rPr>
              <w:t>Not &gt; 5% of the market value of invested assets. Limited</w:t>
            </w:r>
          </w:p>
          <w:p w:rsidR="009826AF" w:rsidRDefault="00577A3E">
            <w:pPr>
              <w:pStyle w:val="TableParagraph"/>
              <w:spacing w:line="264" w:lineRule="exact"/>
              <w:rPr>
                <w:sz w:val="24"/>
              </w:rPr>
            </w:pPr>
            <w:r>
              <w:rPr>
                <w:sz w:val="24"/>
              </w:rPr>
              <w:t>to 1% of market value of invested assets in any one credit.</w:t>
            </w:r>
          </w:p>
        </w:tc>
      </w:tr>
      <w:tr w:rsidR="009826AF">
        <w:trPr>
          <w:trHeight w:val="554"/>
        </w:trPr>
        <w:tc>
          <w:tcPr>
            <w:tcW w:w="2989" w:type="dxa"/>
          </w:tcPr>
          <w:p w:rsidR="009826AF" w:rsidRDefault="00577A3E">
            <w:pPr>
              <w:pStyle w:val="TableParagraph"/>
              <w:spacing w:line="270" w:lineRule="exact"/>
              <w:rPr>
                <w:sz w:val="24"/>
              </w:rPr>
            </w:pPr>
            <w:r>
              <w:rPr>
                <w:sz w:val="24"/>
              </w:rPr>
              <w:t>Exchange Traded Funds</w:t>
            </w:r>
          </w:p>
          <w:p w:rsidR="009826AF" w:rsidRDefault="00577A3E">
            <w:pPr>
              <w:pStyle w:val="TableParagraph"/>
              <w:spacing w:line="264" w:lineRule="exact"/>
              <w:rPr>
                <w:sz w:val="24"/>
              </w:rPr>
            </w:pPr>
            <w:r>
              <w:rPr>
                <w:sz w:val="24"/>
              </w:rPr>
              <w:t>(Unit Investment Trusts)</w:t>
            </w:r>
          </w:p>
        </w:tc>
        <w:tc>
          <w:tcPr>
            <w:tcW w:w="5869" w:type="dxa"/>
          </w:tcPr>
          <w:p w:rsidR="009826AF" w:rsidRDefault="00577A3E">
            <w:pPr>
              <w:pStyle w:val="TableParagraph"/>
              <w:spacing w:line="270" w:lineRule="exact"/>
              <w:rPr>
                <w:sz w:val="24"/>
              </w:rPr>
            </w:pPr>
            <w:r>
              <w:rPr>
                <w:sz w:val="24"/>
              </w:rPr>
              <w:t>Not &gt;30% of the market value of invested assets</w:t>
            </w:r>
          </w:p>
          <w:p w:rsidR="009826AF" w:rsidRDefault="00577A3E">
            <w:pPr>
              <w:pStyle w:val="TableParagraph"/>
              <w:spacing w:line="264" w:lineRule="exact"/>
              <w:rPr>
                <w:sz w:val="24"/>
              </w:rPr>
            </w:pPr>
            <w:r>
              <w:rPr>
                <w:sz w:val="24"/>
              </w:rPr>
              <w:t>(excluding subsidiaries &amp; affiliates).</w:t>
            </w:r>
          </w:p>
        </w:tc>
      </w:tr>
      <w:tr w:rsidR="009826AF">
        <w:trPr>
          <w:trHeight w:val="275"/>
        </w:trPr>
        <w:tc>
          <w:tcPr>
            <w:tcW w:w="2989" w:type="dxa"/>
          </w:tcPr>
          <w:p w:rsidR="009826AF" w:rsidRDefault="009826AF">
            <w:pPr>
              <w:pStyle w:val="TableParagraph"/>
              <w:ind w:left="0"/>
              <w:rPr>
                <w:sz w:val="20"/>
              </w:rPr>
            </w:pPr>
          </w:p>
        </w:tc>
        <w:tc>
          <w:tcPr>
            <w:tcW w:w="5869" w:type="dxa"/>
          </w:tcPr>
          <w:p w:rsidR="009826AF" w:rsidRDefault="009826AF">
            <w:pPr>
              <w:pStyle w:val="TableParagraph"/>
              <w:ind w:left="0"/>
              <w:rPr>
                <w:sz w:val="20"/>
              </w:rPr>
            </w:pPr>
          </w:p>
        </w:tc>
      </w:tr>
      <w:tr w:rsidR="009826AF">
        <w:trPr>
          <w:trHeight w:val="275"/>
        </w:trPr>
        <w:tc>
          <w:tcPr>
            <w:tcW w:w="2989" w:type="dxa"/>
          </w:tcPr>
          <w:p w:rsidR="009826AF" w:rsidRDefault="009826AF">
            <w:pPr>
              <w:pStyle w:val="TableParagraph"/>
              <w:ind w:left="0"/>
              <w:rPr>
                <w:sz w:val="20"/>
              </w:rPr>
            </w:pPr>
          </w:p>
        </w:tc>
        <w:tc>
          <w:tcPr>
            <w:tcW w:w="5869" w:type="dxa"/>
          </w:tcPr>
          <w:p w:rsidR="009826AF" w:rsidRDefault="009826AF">
            <w:pPr>
              <w:pStyle w:val="TableParagraph"/>
              <w:ind w:left="0"/>
              <w:rPr>
                <w:sz w:val="20"/>
              </w:rPr>
            </w:pPr>
          </w:p>
        </w:tc>
      </w:tr>
    </w:tbl>
    <w:p w:rsidR="00B87171" w:rsidRDefault="00B87171"/>
    <w:sectPr w:rsidR="00B87171">
      <w:pgSz w:w="12240" w:h="15840"/>
      <w:pgMar w:top="1500" w:right="1340" w:bottom="1620" w:left="1580" w:header="0" w:footer="14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D9C" w:rsidRDefault="008F4D9C">
      <w:r>
        <w:separator/>
      </w:r>
    </w:p>
  </w:endnote>
  <w:endnote w:type="continuationSeparator" w:id="0">
    <w:p w:rsidR="008F4D9C" w:rsidRDefault="008F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6AF" w:rsidRDefault="00577A3E">
    <w:pPr>
      <w:pStyle w:val="BodyText"/>
      <w:spacing w:line="14" w:lineRule="auto"/>
      <w:rPr>
        <w:sz w:val="20"/>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1133475</wp:posOffset>
              </wp:positionH>
              <wp:positionV relativeFrom="page">
                <wp:posOffset>9029700</wp:posOffset>
              </wp:positionV>
              <wp:extent cx="3097530" cy="410210"/>
              <wp:effectExtent l="0" t="0" r="7620"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7530"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26AF" w:rsidRDefault="00577A3E">
                          <w:pPr>
                            <w:pStyle w:val="BodyText"/>
                            <w:spacing w:before="10"/>
                            <w:ind w:right="136"/>
                            <w:jc w:val="right"/>
                          </w:pPr>
                          <w:r>
                            <w:t xml:space="preserve"> </w:t>
                          </w:r>
                          <w:r>
                            <w:fldChar w:fldCharType="begin"/>
                          </w:r>
                          <w:r>
                            <w:instrText xml:space="preserve"> PAGE </w:instrText>
                          </w:r>
                          <w:r>
                            <w:fldChar w:fldCharType="separate"/>
                          </w:r>
                          <w:r w:rsidR="003C6626">
                            <w:rPr>
                              <w:noProof/>
                            </w:rPr>
                            <w:t>1</w:t>
                          </w:r>
                          <w:r>
                            <w:fldChar w:fldCharType="end"/>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9.25pt;margin-top:711pt;width:243.9pt;height:32.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" filled="f" stroked="f">
              <v:textbox inset="0,0,0,0">
                <w:txbxContent>
                  <w:p w:rsidR="009826AF" w:rsidRDefault="00577A3E">
                    <w:pPr>
                      <w:pStyle w:val="BodyText"/>
                      <w:spacing w:before="10"/>
                      <w:ind w:right="136"/>
                      <w:jc w:val="right"/>
                    </w:pPr>
                    <w:r>
                      <w:t xml:space="preserve"> </w:t>
                    </w:r>
                    <w:r>
                      <w:fldChar w:fldCharType="begin"/>
                    </w:r>
                    <w:r>
                      <w:instrText xml:space="preserve"> PAGE </w:instrText>
                    </w:r>
                    <w:r>
                      <w:fldChar w:fldCharType="separate"/>
                    </w:r>
                    <w:r w:rsidR="003C6626">
                      <w:rPr>
                        <w:noProof/>
                      </w:rPr>
                      <w:t>1</w:t>
                    </w:r>
                    <w:r>
                      <w:fldChar w:fldCharType="end"/>
                    </w:r>
                    <w: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D9C" w:rsidRDefault="008F4D9C">
      <w:r>
        <w:separator/>
      </w:r>
    </w:p>
  </w:footnote>
  <w:footnote w:type="continuationSeparator" w:id="0">
    <w:p w:rsidR="008F4D9C" w:rsidRDefault="008F4D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715D1"/>
    <w:multiLevelType w:val="hybridMultilevel"/>
    <w:tmpl w:val="6BC024B4"/>
    <w:lvl w:ilvl="0" w:tplc="610EB1B4">
      <w:numFmt w:val="bullet"/>
      <w:lvlText w:val="o"/>
      <w:lvlJc w:val="left"/>
      <w:pPr>
        <w:ind w:left="1660" w:hanging="360"/>
      </w:pPr>
      <w:rPr>
        <w:rFonts w:ascii="Courier New" w:eastAsia="Courier New" w:hAnsi="Courier New" w:cs="Courier New" w:hint="default"/>
        <w:w w:val="100"/>
        <w:sz w:val="24"/>
        <w:szCs w:val="24"/>
        <w:lang w:val="en-US" w:eastAsia="en-US" w:bidi="en-US"/>
      </w:rPr>
    </w:lvl>
    <w:lvl w:ilvl="1" w:tplc="D11250D2">
      <w:numFmt w:val="bullet"/>
      <w:lvlText w:val="•"/>
      <w:lvlJc w:val="left"/>
      <w:pPr>
        <w:ind w:left="2426" w:hanging="360"/>
      </w:pPr>
      <w:rPr>
        <w:rFonts w:hint="default"/>
        <w:lang w:val="en-US" w:eastAsia="en-US" w:bidi="en-US"/>
      </w:rPr>
    </w:lvl>
    <w:lvl w:ilvl="2" w:tplc="E22E7AF8">
      <w:numFmt w:val="bullet"/>
      <w:lvlText w:val="•"/>
      <w:lvlJc w:val="left"/>
      <w:pPr>
        <w:ind w:left="3192" w:hanging="360"/>
      </w:pPr>
      <w:rPr>
        <w:rFonts w:hint="default"/>
        <w:lang w:val="en-US" w:eastAsia="en-US" w:bidi="en-US"/>
      </w:rPr>
    </w:lvl>
    <w:lvl w:ilvl="3" w:tplc="12188A28">
      <w:numFmt w:val="bullet"/>
      <w:lvlText w:val="•"/>
      <w:lvlJc w:val="left"/>
      <w:pPr>
        <w:ind w:left="3958" w:hanging="360"/>
      </w:pPr>
      <w:rPr>
        <w:rFonts w:hint="default"/>
        <w:lang w:val="en-US" w:eastAsia="en-US" w:bidi="en-US"/>
      </w:rPr>
    </w:lvl>
    <w:lvl w:ilvl="4" w:tplc="C2D4F330">
      <w:numFmt w:val="bullet"/>
      <w:lvlText w:val="•"/>
      <w:lvlJc w:val="left"/>
      <w:pPr>
        <w:ind w:left="4724" w:hanging="360"/>
      </w:pPr>
      <w:rPr>
        <w:rFonts w:hint="default"/>
        <w:lang w:val="en-US" w:eastAsia="en-US" w:bidi="en-US"/>
      </w:rPr>
    </w:lvl>
    <w:lvl w:ilvl="5" w:tplc="324E67AE">
      <w:numFmt w:val="bullet"/>
      <w:lvlText w:val="•"/>
      <w:lvlJc w:val="left"/>
      <w:pPr>
        <w:ind w:left="5490" w:hanging="360"/>
      </w:pPr>
      <w:rPr>
        <w:rFonts w:hint="default"/>
        <w:lang w:val="en-US" w:eastAsia="en-US" w:bidi="en-US"/>
      </w:rPr>
    </w:lvl>
    <w:lvl w:ilvl="6" w:tplc="0212AFFA">
      <w:numFmt w:val="bullet"/>
      <w:lvlText w:val="•"/>
      <w:lvlJc w:val="left"/>
      <w:pPr>
        <w:ind w:left="6256" w:hanging="360"/>
      </w:pPr>
      <w:rPr>
        <w:rFonts w:hint="default"/>
        <w:lang w:val="en-US" w:eastAsia="en-US" w:bidi="en-US"/>
      </w:rPr>
    </w:lvl>
    <w:lvl w:ilvl="7" w:tplc="BB286246">
      <w:numFmt w:val="bullet"/>
      <w:lvlText w:val="•"/>
      <w:lvlJc w:val="left"/>
      <w:pPr>
        <w:ind w:left="7022" w:hanging="360"/>
      </w:pPr>
      <w:rPr>
        <w:rFonts w:hint="default"/>
        <w:lang w:val="en-US" w:eastAsia="en-US" w:bidi="en-US"/>
      </w:rPr>
    </w:lvl>
    <w:lvl w:ilvl="8" w:tplc="AF364162">
      <w:numFmt w:val="bullet"/>
      <w:lvlText w:val="•"/>
      <w:lvlJc w:val="left"/>
      <w:pPr>
        <w:ind w:left="7788" w:hanging="360"/>
      </w:pPr>
      <w:rPr>
        <w:rFonts w:hint="default"/>
        <w:lang w:val="en-US" w:eastAsia="en-US" w:bidi="en-US"/>
      </w:rPr>
    </w:lvl>
  </w:abstractNum>
  <w:abstractNum w:abstractNumId="1" w15:restartNumberingAfterBreak="0">
    <w:nsid w:val="1A1C6828"/>
    <w:multiLevelType w:val="hybridMultilevel"/>
    <w:tmpl w:val="41E098D4"/>
    <w:lvl w:ilvl="0" w:tplc="94528970">
      <w:numFmt w:val="bullet"/>
      <w:lvlText w:val="o"/>
      <w:lvlJc w:val="left"/>
      <w:pPr>
        <w:ind w:left="1660" w:hanging="360"/>
      </w:pPr>
      <w:rPr>
        <w:rFonts w:ascii="Courier New" w:eastAsia="Courier New" w:hAnsi="Courier New" w:cs="Courier New" w:hint="default"/>
        <w:w w:val="100"/>
        <w:sz w:val="24"/>
        <w:szCs w:val="24"/>
        <w:lang w:val="en-US" w:eastAsia="en-US" w:bidi="en-US"/>
      </w:rPr>
    </w:lvl>
    <w:lvl w:ilvl="1" w:tplc="FA9A9E08">
      <w:numFmt w:val="bullet"/>
      <w:lvlText w:val="•"/>
      <w:lvlJc w:val="left"/>
      <w:pPr>
        <w:ind w:left="2426" w:hanging="360"/>
      </w:pPr>
      <w:rPr>
        <w:rFonts w:hint="default"/>
        <w:lang w:val="en-US" w:eastAsia="en-US" w:bidi="en-US"/>
      </w:rPr>
    </w:lvl>
    <w:lvl w:ilvl="2" w:tplc="370080C2">
      <w:numFmt w:val="bullet"/>
      <w:lvlText w:val="•"/>
      <w:lvlJc w:val="left"/>
      <w:pPr>
        <w:ind w:left="3192" w:hanging="360"/>
      </w:pPr>
      <w:rPr>
        <w:rFonts w:hint="default"/>
        <w:lang w:val="en-US" w:eastAsia="en-US" w:bidi="en-US"/>
      </w:rPr>
    </w:lvl>
    <w:lvl w:ilvl="3" w:tplc="1CC07BF0">
      <w:numFmt w:val="bullet"/>
      <w:lvlText w:val="•"/>
      <w:lvlJc w:val="left"/>
      <w:pPr>
        <w:ind w:left="3958" w:hanging="360"/>
      </w:pPr>
      <w:rPr>
        <w:rFonts w:hint="default"/>
        <w:lang w:val="en-US" w:eastAsia="en-US" w:bidi="en-US"/>
      </w:rPr>
    </w:lvl>
    <w:lvl w:ilvl="4" w:tplc="0A268F2A">
      <w:numFmt w:val="bullet"/>
      <w:lvlText w:val="•"/>
      <w:lvlJc w:val="left"/>
      <w:pPr>
        <w:ind w:left="4724" w:hanging="360"/>
      </w:pPr>
      <w:rPr>
        <w:rFonts w:hint="default"/>
        <w:lang w:val="en-US" w:eastAsia="en-US" w:bidi="en-US"/>
      </w:rPr>
    </w:lvl>
    <w:lvl w:ilvl="5" w:tplc="DFE8819C">
      <w:numFmt w:val="bullet"/>
      <w:lvlText w:val="•"/>
      <w:lvlJc w:val="left"/>
      <w:pPr>
        <w:ind w:left="5490" w:hanging="360"/>
      </w:pPr>
      <w:rPr>
        <w:rFonts w:hint="default"/>
        <w:lang w:val="en-US" w:eastAsia="en-US" w:bidi="en-US"/>
      </w:rPr>
    </w:lvl>
    <w:lvl w:ilvl="6" w:tplc="B3F69326">
      <w:numFmt w:val="bullet"/>
      <w:lvlText w:val="•"/>
      <w:lvlJc w:val="left"/>
      <w:pPr>
        <w:ind w:left="6256" w:hanging="360"/>
      </w:pPr>
      <w:rPr>
        <w:rFonts w:hint="default"/>
        <w:lang w:val="en-US" w:eastAsia="en-US" w:bidi="en-US"/>
      </w:rPr>
    </w:lvl>
    <w:lvl w:ilvl="7" w:tplc="A4DE504C">
      <w:numFmt w:val="bullet"/>
      <w:lvlText w:val="•"/>
      <w:lvlJc w:val="left"/>
      <w:pPr>
        <w:ind w:left="7022" w:hanging="360"/>
      </w:pPr>
      <w:rPr>
        <w:rFonts w:hint="default"/>
        <w:lang w:val="en-US" w:eastAsia="en-US" w:bidi="en-US"/>
      </w:rPr>
    </w:lvl>
    <w:lvl w:ilvl="8" w:tplc="E426348A">
      <w:numFmt w:val="bullet"/>
      <w:lvlText w:val="•"/>
      <w:lvlJc w:val="left"/>
      <w:pPr>
        <w:ind w:left="7788" w:hanging="360"/>
      </w:pPr>
      <w:rPr>
        <w:rFonts w:hint="default"/>
        <w:lang w:val="en-US" w:eastAsia="en-US" w:bidi="en-US"/>
      </w:rPr>
    </w:lvl>
  </w:abstractNum>
  <w:abstractNum w:abstractNumId="2" w15:restartNumberingAfterBreak="0">
    <w:nsid w:val="4D950C86"/>
    <w:multiLevelType w:val="hybridMultilevel"/>
    <w:tmpl w:val="484639D6"/>
    <w:lvl w:ilvl="0" w:tplc="4776DBAE">
      <w:numFmt w:val="bullet"/>
      <w:lvlText w:val="-"/>
      <w:lvlJc w:val="left"/>
      <w:pPr>
        <w:ind w:left="3960" w:hanging="140"/>
      </w:pPr>
      <w:rPr>
        <w:rFonts w:ascii="Times New Roman" w:eastAsia="Times New Roman" w:hAnsi="Times New Roman" w:cs="Times New Roman" w:hint="default"/>
        <w:w w:val="99"/>
        <w:sz w:val="24"/>
        <w:szCs w:val="24"/>
        <w:lang w:val="en-US" w:eastAsia="en-US" w:bidi="en-US"/>
      </w:rPr>
    </w:lvl>
    <w:lvl w:ilvl="1" w:tplc="1D386FB2">
      <w:numFmt w:val="bullet"/>
      <w:lvlText w:val="•"/>
      <w:lvlJc w:val="left"/>
      <w:pPr>
        <w:ind w:left="4496" w:hanging="140"/>
      </w:pPr>
      <w:rPr>
        <w:rFonts w:hint="default"/>
        <w:lang w:val="en-US" w:eastAsia="en-US" w:bidi="en-US"/>
      </w:rPr>
    </w:lvl>
    <w:lvl w:ilvl="2" w:tplc="6542311E">
      <w:numFmt w:val="bullet"/>
      <w:lvlText w:val="•"/>
      <w:lvlJc w:val="left"/>
      <w:pPr>
        <w:ind w:left="5032" w:hanging="140"/>
      </w:pPr>
      <w:rPr>
        <w:rFonts w:hint="default"/>
        <w:lang w:val="en-US" w:eastAsia="en-US" w:bidi="en-US"/>
      </w:rPr>
    </w:lvl>
    <w:lvl w:ilvl="3" w:tplc="D7AC9AD2">
      <w:numFmt w:val="bullet"/>
      <w:lvlText w:val="•"/>
      <w:lvlJc w:val="left"/>
      <w:pPr>
        <w:ind w:left="5568" w:hanging="140"/>
      </w:pPr>
      <w:rPr>
        <w:rFonts w:hint="default"/>
        <w:lang w:val="en-US" w:eastAsia="en-US" w:bidi="en-US"/>
      </w:rPr>
    </w:lvl>
    <w:lvl w:ilvl="4" w:tplc="01E61630">
      <w:numFmt w:val="bullet"/>
      <w:lvlText w:val="•"/>
      <w:lvlJc w:val="left"/>
      <w:pPr>
        <w:ind w:left="6104" w:hanging="140"/>
      </w:pPr>
      <w:rPr>
        <w:rFonts w:hint="default"/>
        <w:lang w:val="en-US" w:eastAsia="en-US" w:bidi="en-US"/>
      </w:rPr>
    </w:lvl>
    <w:lvl w:ilvl="5" w:tplc="9BB02DF8">
      <w:numFmt w:val="bullet"/>
      <w:lvlText w:val="•"/>
      <w:lvlJc w:val="left"/>
      <w:pPr>
        <w:ind w:left="6640" w:hanging="140"/>
      </w:pPr>
      <w:rPr>
        <w:rFonts w:hint="default"/>
        <w:lang w:val="en-US" w:eastAsia="en-US" w:bidi="en-US"/>
      </w:rPr>
    </w:lvl>
    <w:lvl w:ilvl="6" w:tplc="D76496AA">
      <w:numFmt w:val="bullet"/>
      <w:lvlText w:val="•"/>
      <w:lvlJc w:val="left"/>
      <w:pPr>
        <w:ind w:left="7176" w:hanging="140"/>
      </w:pPr>
      <w:rPr>
        <w:rFonts w:hint="default"/>
        <w:lang w:val="en-US" w:eastAsia="en-US" w:bidi="en-US"/>
      </w:rPr>
    </w:lvl>
    <w:lvl w:ilvl="7" w:tplc="5D4EEE02">
      <w:numFmt w:val="bullet"/>
      <w:lvlText w:val="•"/>
      <w:lvlJc w:val="left"/>
      <w:pPr>
        <w:ind w:left="7712" w:hanging="140"/>
      </w:pPr>
      <w:rPr>
        <w:rFonts w:hint="default"/>
        <w:lang w:val="en-US" w:eastAsia="en-US" w:bidi="en-US"/>
      </w:rPr>
    </w:lvl>
    <w:lvl w:ilvl="8" w:tplc="6ACEB7B8">
      <w:numFmt w:val="bullet"/>
      <w:lvlText w:val="•"/>
      <w:lvlJc w:val="left"/>
      <w:pPr>
        <w:ind w:left="8248" w:hanging="140"/>
      </w:pPr>
      <w:rPr>
        <w:rFonts w:hint="default"/>
        <w:lang w:val="en-US" w:eastAsia="en-US" w:bidi="en-US"/>
      </w:rPr>
    </w:lvl>
  </w:abstractNum>
  <w:abstractNum w:abstractNumId="3" w15:restartNumberingAfterBreak="0">
    <w:nsid w:val="54FC1DB9"/>
    <w:multiLevelType w:val="hybridMultilevel"/>
    <w:tmpl w:val="D1E61AE6"/>
    <w:lvl w:ilvl="0" w:tplc="5546F016">
      <w:start w:val="1"/>
      <w:numFmt w:val="upperRoman"/>
      <w:lvlText w:val="%1."/>
      <w:lvlJc w:val="left"/>
      <w:pPr>
        <w:ind w:left="760" w:hanging="334"/>
        <w:jc w:val="right"/>
      </w:pPr>
      <w:rPr>
        <w:rFonts w:ascii="Times New Roman" w:eastAsia="Times New Roman" w:hAnsi="Times New Roman" w:cs="Times New Roman" w:hint="default"/>
        <w:b/>
        <w:bCs/>
        <w:w w:val="99"/>
        <w:sz w:val="24"/>
        <w:szCs w:val="24"/>
        <w:lang w:val="en-US" w:eastAsia="en-US" w:bidi="en-US"/>
      </w:rPr>
    </w:lvl>
    <w:lvl w:ilvl="1" w:tplc="326485AC">
      <w:numFmt w:val="bullet"/>
      <w:lvlText w:val=""/>
      <w:lvlJc w:val="left"/>
      <w:pPr>
        <w:ind w:left="1660" w:hanging="360"/>
      </w:pPr>
      <w:rPr>
        <w:rFonts w:ascii="Symbol" w:eastAsia="Symbol" w:hAnsi="Symbol" w:cs="Symbol" w:hint="default"/>
        <w:w w:val="100"/>
        <w:sz w:val="24"/>
        <w:szCs w:val="24"/>
        <w:lang w:val="en-US" w:eastAsia="en-US" w:bidi="en-US"/>
      </w:rPr>
    </w:lvl>
    <w:lvl w:ilvl="2" w:tplc="88442FBC">
      <w:numFmt w:val="bullet"/>
      <w:lvlText w:val=""/>
      <w:lvlJc w:val="left"/>
      <w:pPr>
        <w:ind w:left="2380" w:hanging="360"/>
      </w:pPr>
      <w:rPr>
        <w:rFonts w:ascii="Symbol" w:eastAsia="Symbol" w:hAnsi="Symbol" w:cs="Symbol" w:hint="default"/>
        <w:w w:val="100"/>
        <w:sz w:val="24"/>
        <w:szCs w:val="24"/>
        <w:lang w:val="en-US" w:eastAsia="en-US" w:bidi="en-US"/>
      </w:rPr>
    </w:lvl>
    <w:lvl w:ilvl="3" w:tplc="A3EC35A6">
      <w:numFmt w:val="bullet"/>
      <w:lvlText w:val="•"/>
      <w:lvlJc w:val="left"/>
      <w:pPr>
        <w:ind w:left="1660" w:hanging="360"/>
      </w:pPr>
      <w:rPr>
        <w:rFonts w:hint="default"/>
        <w:lang w:val="en-US" w:eastAsia="en-US" w:bidi="en-US"/>
      </w:rPr>
    </w:lvl>
    <w:lvl w:ilvl="4" w:tplc="9376BB80">
      <w:numFmt w:val="bullet"/>
      <w:lvlText w:val="•"/>
      <w:lvlJc w:val="left"/>
      <w:pPr>
        <w:ind w:left="2020" w:hanging="360"/>
      </w:pPr>
      <w:rPr>
        <w:rFonts w:hint="default"/>
        <w:lang w:val="en-US" w:eastAsia="en-US" w:bidi="en-US"/>
      </w:rPr>
    </w:lvl>
    <w:lvl w:ilvl="5" w:tplc="A0881D02">
      <w:numFmt w:val="bullet"/>
      <w:lvlText w:val="•"/>
      <w:lvlJc w:val="left"/>
      <w:pPr>
        <w:ind w:left="2380" w:hanging="360"/>
      </w:pPr>
      <w:rPr>
        <w:rFonts w:hint="default"/>
        <w:lang w:val="en-US" w:eastAsia="en-US" w:bidi="en-US"/>
      </w:rPr>
    </w:lvl>
    <w:lvl w:ilvl="6" w:tplc="4B66E878">
      <w:numFmt w:val="bullet"/>
      <w:lvlText w:val="•"/>
      <w:lvlJc w:val="left"/>
      <w:pPr>
        <w:ind w:left="3768" w:hanging="360"/>
      </w:pPr>
      <w:rPr>
        <w:rFonts w:hint="default"/>
        <w:lang w:val="en-US" w:eastAsia="en-US" w:bidi="en-US"/>
      </w:rPr>
    </w:lvl>
    <w:lvl w:ilvl="7" w:tplc="E22EA98C">
      <w:numFmt w:val="bullet"/>
      <w:lvlText w:val="•"/>
      <w:lvlJc w:val="left"/>
      <w:pPr>
        <w:ind w:left="5156" w:hanging="360"/>
      </w:pPr>
      <w:rPr>
        <w:rFonts w:hint="default"/>
        <w:lang w:val="en-US" w:eastAsia="en-US" w:bidi="en-US"/>
      </w:rPr>
    </w:lvl>
    <w:lvl w:ilvl="8" w:tplc="0166F8DC">
      <w:numFmt w:val="bullet"/>
      <w:lvlText w:val="•"/>
      <w:lvlJc w:val="left"/>
      <w:pPr>
        <w:ind w:left="6544" w:hanging="360"/>
      </w:pPr>
      <w:rPr>
        <w:rFonts w:hint="default"/>
        <w:lang w:val="en-US" w:eastAsia="en-US" w:bidi="en-US"/>
      </w:rPr>
    </w:lvl>
  </w:abstractNum>
  <w:abstractNum w:abstractNumId="4" w15:restartNumberingAfterBreak="0">
    <w:nsid w:val="6E8A69A3"/>
    <w:multiLevelType w:val="hybridMultilevel"/>
    <w:tmpl w:val="BE4C1C7C"/>
    <w:lvl w:ilvl="0" w:tplc="11AE8B02">
      <w:numFmt w:val="bullet"/>
      <w:lvlText w:val="o"/>
      <w:lvlJc w:val="left"/>
      <w:pPr>
        <w:ind w:left="1660" w:hanging="360"/>
      </w:pPr>
      <w:rPr>
        <w:rFonts w:ascii="Courier New" w:eastAsia="Courier New" w:hAnsi="Courier New" w:cs="Courier New" w:hint="default"/>
        <w:w w:val="100"/>
        <w:sz w:val="24"/>
        <w:szCs w:val="24"/>
        <w:lang w:val="en-US" w:eastAsia="en-US" w:bidi="en-US"/>
      </w:rPr>
    </w:lvl>
    <w:lvl w:ilvl="1" w:tplc="4830C892">
      <w:numFmt w:val="bullet"/>
      <w:lvlText w:val="•"/>
      <w:lvlJc w:val="left"/>
      <w:pPr>
        <w:ind w:left="2426" w:hanging="360"/>
      </w:pPr>
      <w:rPr>
        <w:rFonts w:hint="default"/>
        <w:lang w:val="en-US" w:eastAsia="en-US" w:bidi="en-US"/>
      </w:rPr>
    </w:lvl>
    <w:lvl w:ilvl="2" w:tplc="0D167238">
      <w:numFmt w:val="bullet"/>
      <w:lvlText w:val="•"/>
      <w:lvlJc w:val="left"/>
      <w:pPr>
        <w:ind w:left="3192" w:hanging="360"/>
      </w:pPr>
      <w:rPr>
        <w:rFonts w:hint="default"/>
        <w:lang w:val="en-US" w:eastAsia="en-US" w:bidi="en-US"/>
      </w:rPr>
    </w:lvl>
    <w:lvl w:ilvl="3" w:tplc="46FEF6F2">
      <w:numFmt w:val="bullet"/>
      <w:lvlText w:val="•"/>
      <w:lvlJc w:val="left"/>
      <w:pPr>
        <w:ind w:left="3958" w:hanging="360"/>
      </w:pPr>
      <w:rPr>
        <w:rFonts w:hint="default"/>
        <w:lang w:val="en-US" w:eastAsia="en-US" w:bidi="en-US"/>
      </w:rPr>
    </w:lvl>
    <w:lvl w:ilvl="4" w:tplc="51C68BD8">
      <w:numFmt w:val="bullet"/>
      <w:lvlText w:val="•"/>
      <w:lvlJc w:val="left"/>
      <w:pPr>
        <w:ind w:left="4724" w:hanging="360"/>
      </w:pPr>
      <w:rPr>
        <w:rFonts w:hint="default"/>
        <w:lang w:val="en-US" w:eastAsia="en-US" w:bidi="en-US"/>
      </w:rPr>
    </w:lvl>
    <w:lvl w:ilvl="5" w:tplc="5566987E">
      <w:numFmt w:val="bullet"/>
      <w:lvlText w:val="•"/>
      <w:lvlJc w:val="left"/>
      <w:pPr>
        <w:ind w:left="5490" w:hanging="360"/>
      </w:pPr>
      <w:rPr>
        <w:rFonts w:hint="default"/>
        <w:lang w:val="en-US" w:eastAsia="en-US" w:bidi="en-US"/>
      </w:rPr>
    </w:lvl>
    <w:lvl w:ilvl="6" w:tplc="C1B6049A">
      <w:numFmt w:val="bullet"/>
      <w:lvlText w:val="•"/>
      <w:lvlJc w:val="left"/>
      <w:pPr>
        <w:ind w:left="6256" w:hanging="360"/>
      </w:pPr>
      <w:rPr>
        <w:rFonts w:hint="default"/>
        <w:lang w:val="en-US" w:eastAsia="en-US" w:bidi="en-US"/>
      </w:rPr>
    </w:lvl>
    <w:lvl w:ilvl="7" w:tplc="FED26F24">
      <w:numFmt w:val="bullet"/>
      <w:lvlText w:val="•"/>
      <w:lvlJc w:val="left"/>
      <w:pPr>
        <w:ind w:left="7022" w:hanging="360"/>
      </w:pPr>
      <w:rPr>
        <w:rFonts w:hint="default"/>
        <w:lang w:val="en-US" w:eastAsia="en-US" w:bidi="en-US"/>
      </w:rPr>
    </w:lvl>
    <w:lvl w:ilvl="8" w:tplc="147C5C10">
      <w:numFmt w:val="bullet"/>
      <w:lvlText w:val="•"/>
      <w:lvlJc w:val="left"/>
      <w:pPr>
        <w:ind w:left="7788" w:hanging="360"/>
      </w:pPr>
      <w:rPr>
        <w:rFonts w:hint="default"/>
        <w:lang w:val="en-US" w:eastAsia="en-US" w:bidi="en-US"/>
      </w:rPr>
    </w:lvl>
  </w:abstractNum>
  <w:abstractNum w:abstractNumId="5" w15:restartNumberingAfterBreak="0">
    <w:nsid w:val="7FDF5D59"/>
    <w:multiLevelType w:val="hybridMultilevel"/>
    <w:tmpl w:val="DB96A75E"/>
    <w:lvl w:ilvl="0" w:tplc="66CAEFC6">
      <w:start w:val="1"/>
      <w:numFmt w:val="decimal"/>
      <w:lvlText w:val="%1."/>
      <w:lvlJc w:val="left"/>
      <w:pPr>
        <w:ind w:left="1660" w:hanging="360"/>
        <w:jc w:val="left"/>
      </w:pPr>
      <w:rPr>
        <w:rFonts w:ascii="Times New Roman" w:eastAsia="Times New Roman" w:hAnsi="Times New Roman" w:cs="Times New Roman" w:hint="default"/>
        <w:spacing w:val="-5"/>
        <w:w w:val="100"/>
        <w:sz w:val="24"/>
        <w:szCs w:val="24"/>
        <w:lang w:val="en-US" w:eastAsia="en-US" w:bidi="en-US"/>
      </w:rPr>
    </w:lvl>
    <w:lvl w:ilvl="1" w:tplc="3D52061E">
      <w:numFmt w:val="bullet"/>
      <w:lvlText w:val="•"/>
      <w:lvlJc w:val="left"/>
      <w:pPr>
        <w:ind w:left="2426" w:hanging="360"/>
      </w:pPr>
      <w:rPr>
        <w:rFonts w:hint="default"/>
        <w:lang w:val="en-US" w:eastAsia="en-US" w:bidi="en-US"/>
      </w:rPr>
    </w:lvl>
    <w:lvl w:ilvl="2" w:tplc="1EA88044">
      <w:numFmt w:val="bullet"/>
      <w:lvlText w:val="•"/>
      <w:lvlJc w:val="left"/>
      <w:pPr>
        <w:ind w:left="3192" w:hanging="360"/>
      </w:pPr>
      <w:rPr>
        <w:rFonts w:hint="default"/>
        <w:lang w:val="en-US" w:eastAsia="en-US" w:bidi="en-US"/>
      </w:rPr>
    </w:lvl>
    <w:lvl w:ilvl="3" w:tplc="3726332E">
      <w:numFmt w:val="bullet"/>
      <w:lvlText w:val="•"/>
      <w:lvlJc w:val="left"/>
      <w:pPr>
        <w:ind w:left="3958" w:hanging="360"/>
      </w:pPr>
      <w:rPr>
        <w:rFonts w:hint="default"/>
        <w:lang w:val="en-US" w:eastAsia="en-US" w:bidi="en-US"/>
      </w:rPr>
    </w:lvl>
    <w:lvl w:ilvl="4" w:tplc="C21EAE48">
      <w:numFmt w:val="bullet"/>
      <w:lvlText w:val="•"/>
      <w:lvlJc w:val="left"/>
      <w:pPr>
        <w:ind w:left="4724" w:hanging="360"/>
      </w:pPr>
      <w:rPr>
        <w:rFonts w:hint="default"/>
        <w:lang w:val="en-US" w:eastAsia="en-US" w:bidi="en-US"/>
      </w:rPr>
    </w:lvl>
    <w:lvl w:ilvl="5" w:tplc="96D6F7AC">
      <w:numFmt w:val="bullet"/>
      <w:lvlText w:val="•"/>
      <w:lvlJc w:val="left"/>
      <w:pPr>
        <w:ind w:left="5490" w:hanging="360"/>
      </w:pPr>
      <w:rPr>
        <w:rFonts w:hint="default"/>
        <w:lang w:val="en-US" w:eastAsia="en-US" w:bidi="en-US"/>
      </w:rPr>
    </w:lvl>
    <w:lvl w:ilvl="6" w:tplc="035E80C8">
      <w:numFmt w:val="bullet"/>
      <w:lvlText w:val="•"/>
      <w:lvlJc w:val="left"/>
      <w:pPr>
        <w:ind w:left="6256" w:hanging="360"/>
      </w:pPr>
      <w:rPr>
        <w:rFonts w:hint="default"/>
        <w:lang w:val="en-US" w:eastAsia="en-US" w:bidi="en-US"/>
      </w:rPr>
    </w:lvl>
    <w:lvl w:ilvl="7" w:tplc="EBAE19DA">
      <w:numFmt w:val="bullet"/>
      <w:lvlText w:val="•"/>
      <w:lvlJc w:val="left"/>
      <w:pPr>
        <w:ind w:left="7022" w:hanging="360"/>
      </w:pPr>
      <w:rPr>
        <w:rFonts w:hint="default"/>
        <w:lang w:val="en-US" w:eastAsia="en-US" w:bidi="en-US"/>
      </w:rPr>
    </w:lvl>
    <w:lvl w:ilvl="8" w:tplc="401AA378">
      <w:numFmt w:val="bullet"/>
      <w:lvlText w:val="•"/>
      <w:lvlJc w:val="left"/>
      <w:pPr>
        <w:ind w:left="7788" w:hanging="360"/>
      </w:pPr>
      <w:rPr>
        <w:rFonts w:hint="default"/>
        <w:lang w:val="en-US" w:eastAsia="en-US" w:bidi="en-US"/>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6AF"/>
    <w:rsid w:val="00265481"/>
    <w:rsid w:val="003C6626"/>
    <w:rsid w:val="00577A3E"/>
    <w:rsid w:val="008F4D9C"/>
    <w:rsid w:val="009826AF"/>
    <w:rsid w:val="00B87171"/>
    <w:rsid w:val="00E04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76956C-87D5-4E43-BD32-51E7C356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ind w:left="16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line="293" w:lineRule="exact"/>
      <w:ind w:left="1660" w:hanging="360"/>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265481"/>
    <w:pPr>
      <w:tabs>
        <w:tab w:val="center" w:pos="4680"/>
        <w:tab w:val="right" w:pos="9360"/>
      </w:tabs>
    </w:pPr>
  </w:style>
  <w:style w:type="character" w:customStyle="1" w:styleId="HeaderChar">
    <w:name w:val="Header Char"/>
    <w:basedOn w:val="DefaultParagraphFont"/>
    <w:link w:val="Header"/>
    <w:uiPriority w:val="99"/>
    <w:rsid w:val="00265481"/>
    <w:rPr>
      <w:rFonts w:ascii="Times New Roman" w:eastAsia="Times New Roman" w:hAnsi="Times New Roman" w:cs="Times New Roman"/>
      <w:lang w:bidi="en-US"/>
    </w:rPr>
  </w:style>
  <w:style w:type="paragraph" w:styleId="Footer">
    <w:name w:val="footer"/>
    <w:basedOn w:val="Normal"/>
    <w:link w:val="FooterChar"/>
    <w:uiPriority w:val="99"/>
    <w:unhideWhenUsed/>
    <w:rsid w:val="00265481"/>
    <w:pPr>
      <w:tabs>
        <w:tab w:val="center" w:pos="4680"/>
        <w:tab w:val="right" w:pos="9360"/>
      </w:tabs>
    </w:pPr>
  </w:style>
  <w:style w:type="character" w:customStyle="1" w:styleId="FooterChar">
    <w:name w:val="Footer Char"/>
    <w:basedOn w:val="DefaultParagraphFont"/>
    <w:link w:val="Footer"/>
    <w:uiPriority w:val="99"/>
    <w:rsid w:val="00265481"/>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THE MISSOURI FARM BUREAU AND AFFILIATED COMPANIES</vt:lpstr>
    </vt:vector>
  </TitlesOfParts>
  <Company>Missouri Consolidated Health Care Plan</Company>
  <LinksUpToDate>false</LinksUpToDate>
  <CharactersWithSpaces>13010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MISSOURI FARM BUREAU AND AFFILIATED COMPANIES</dc:title>
  <dc:creator>Workstation</dc:creator>
  <cp:lastModifiedBy>Karen Avey</cp:lastModifiedBy>
  <cp:revision>2</cp:revision>
  <dcterms:created xsi:type="dcterms:W3CDTF">2018-04-13T19:07:00Z</dcterms:created>
  <dcterms:modified xsi:type="dcterms:W3CDTF">2018-04-13T19:07:00Z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2013-08-15T00:00:00Z</vt:filetime>
  </property>
  <property fmtid="{D5CDD505-2E9C-101B-9397-08002B2CF9AE}" pid="3" name="Creator">
    <vt:lpwstr>Microsoft® Word 2010</vt:lpwstr>
  </property>
  <property fmtid="{D5CDD505-2E9C-101B-9397-08002B2CF9AE}" pid="4" name="LastSaved">
    <vt:filetime>2018-04-12T00:00:00Z</vt:filetime>
  </property>
  <property fmtid="{D5CDD505-2E9C-101B-9397-08002B2CF9AE}" pid="5" name="_AdHocReviewCycleID">
    <vt:i4>-1065093349</vt:i4>
  </property>
  <property fmtid="{D5CDD505-2E9C-101B-9397-08002B2CF9AE}" pid="6" name="_NewReviewCycle">
    <vt:lpwstr/>
  </property>
  <property fmtid="{D5CDD505-2E9C-101B-9397-08002B2CF9AE}" pid="7" name="_EmailSubject">
    <vt:lpwstr>Investment Policies</vt:lpwstr>
  </property>
  <property fmtid="{D5CDD505-2E9C-101B-9397-08002B2CF9AE}" pid="8" name="_AuthorEmail">
    <vt:lpwstr>Stacia.Fischer@mchcp.org</vt:lpwstr>
  </property>
  <property fmtid="{D5CDD505-2E9C-101B-9397-08002B2CF9AE}" pid="9" name="_AuthorEmailDisplayName">
    <vt:lpwstr>Stacia Fischer</vt:lpwstr>
  </property>
  <property fmtid="{D5CDD505-2E9C-101B-9397-08002B2CF9AE}" pid="10" name="_PreviousAdHocReviewCycleID">
    <vt:i4>-705417123</vt:i4>
  </property>
  <property fmtid="{D5CDD505-2E9C-101B-9397-08002B2CF9AE}" pid="11" name="_ReviewingToolsShownOnce">
    <vt:lpwstr/>
  </property>
</Properties>
</file>