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623" w:rsidRDefault="00E9675F">
      <w:pPr>
        <w:pStyle w:val="Heading1"/>
        <w:spacing w:before="79"/>
      </w:pPr>
      <w:bookmarkStart w:id="0" w:name="MISSOURI_CONSOLIDATED_HEALTH_CARE_PLAN"/>
      <w:bookmarkStart w:id="1" w:name="_GoBack"/>
      <w:bookmarkEnd w:id="0"/>
      <w:bookmarkEnd w:id="1"/>
      <w:r>
        <w:t>MISSOURI CONSOLIDATED HEALTH CARE PLAN</w:t>
      </w:r>
    </w:p>
    <w:p w:rsidR="00D42623" w:rsidRDefault="00D42623">
      <w:pPr>
        <w:pStyle w:val="BodyText"/>
        <w:spacing w:before="4"/>
        <w:rPr>
          <w:b/>
          <w:sz w:val="24"/>
        </w:rPr>
      </w:pPr>
    </w:p>
    <w:p w:rsidR="00D42623" w:rsidRDefault="00E9675F">
      <w:pPr>
        <w:ind w:left="1106" w:right="1106"/>
        <w:jc w:val="center"/>
        <w:rPr>
          <w:b/>
          <w:sz w:val="28"/>
        </w:rPr>
      </w:pPr>
      <w:bookmarkStart w:id="2" w:name="Investment_Policy"/>
      <w:bookmarkEnd w:id="2"/>
      <w:r>
        <w:rPr>
          <w:b/>
          <w:sz w:val="28"/>
        </w:rPr>
        <w:t>Investment Policy</w:t>
      </w:r>
    </w:p>
    <w:p w:rsidR="00D42623" w:rsidRDefault="00D42623">
      <w:pPr>
        <w:pStyle w:val="BodyText"/>
        <w:spacing w:before="4"/>
        <w:rPr>
          <w:b/>
          <w:sz w:val="24"/>
        </w:rPr>
      </w:pPr>
    </w:p>
    <w:p w:rsidR="00D42623" w:rsidRDefault="00E9675F">
      <w:pPr>
        <w:ind w:left="1106" w:right="1106"/>
        <w:jc w:val="center"/>
        <w:rPr>
          <w:b/>
          <w:i/>
          <w:sz w:val="20"/>
        </w:rPr>
      </w:pPr>
      <w:bookmarkStart w:id="3" w:name="Adopted_and_Effective_December_15,_2005"/>
      <w:bookmarkEnd w:id="3"/>
      <w:r>
        <w:rPr>
          <w:b/>
          <w:i/>
          <w:sz w:val="20"/>
        </w:rPr>
        <w:t>Adopted and Effective December 15, 2005</w:t>
      </w:r>
    </w:p>
    <w:p w:rsidR="00D42623" w:rsidRDefault="00D42623">
      <w:pPr>
        <w:pStyle w:val="BodyText"/>
        <w:spacing w:before="1"/>
        <w:rPr>
          <w:b/>
          <w:i/>
          <w:sz w:val="16"/>
        </w:rPr>
      </w:pPr>
    </w:p>
    <w:p w:rsidR="00D42623" w:rsidRDefault="00E9675F">
      <w:pPr>
        <w:pStyle w:val="Heading2"/>
        <w:numPr>
          <w:ilvl w:val="0"/>
          <w:numId w:val="5"/>
        </w:numPr>
        <w:tabs>
          <w:tab w:val="left" w:pos="287"/>
        </w:tabs>
        <w:spacing w:before="94"/>
      </w:pPr>
      <w:r>
        <w:t>Scope</w:t>
      </w:r>
    </w:p>
    <w:p w:rsidR="00D42623" w:rsidRDefault="00D42623">
      <w:pPr>
        <w:pStyle w:val="BodyText"/>
        <w:spacing w:before="3"/>
        <w:rPr>
          <w:b/>
          <w:sz w:val="24"/>
        </w:rPr>
      </w:pPr>
    </w:p>
    <w:p w:rsidR="00D42623" w:rsidRDefault="00E9675F">
      <w:pPr>
        <w:pStyle w:val="BodyText"/>
        <w:ind w:left="119"/>
      </w:pPr>
      <w:r>
        <w:t>This policy applies to the investment of Missouri Consolidated Health Care Plan (MCHCP) funds.</w:t>
      </w:r>
    </w:p>
    <w:p w:rsidR="00D42623" w:rsidRDefault="00D42623">
      <w:pPr>
        <w:pStyle w:val="BodyText"/>
        <w:spacing w:before="4"/>
        <w:rPr>
          <w:sz w:val="24"/>
        </w:rPr>
      </w:pPr>
    </w:p>
    <w:p w:rsidR="00D42623" w:rsidRDefault="00E9675F">
      <w:pPr>
        <w:pStyle w:val="ListParagraph"/>
        <w:numPr>
          <w:ilvl w:val="1"/>
          <w:numId w:val="5"/>
        </w:numPr>
        <w:tabs>
          <w:tab w:val="left" w:pos="1200"/>
        </w:tabs>
        <w:ind w:right="116" w:hanging="360"/>
        <w:jc w:val="both"/>
        <w:rPr>
          <w:sz w:val="20"/>
        </w:rPr>
      </w:pPr>
      <w:r>
        <w:rPr>
          <w:b/>
          <w:sz w:val="20"/>
        </w:rPr>
        <w:t>Pooling of Funds</w:t>
      </w:r>
      <w:r>
        <w:rPr>
          <w:b/>
          <w:color w:val="FF0000"/>
          <w:sz w:val="20"/>
        </w:rPr>
        <w:t xml:space="preserve">. </w:t>
      </w:r>
      <w:r>
        <w:rPr>
          <w:sz w:val="20"/>
        </w:rPr>
        <w:t>Except for cash in certain restricted and special funds, the MCHCP will consolidate cash balances from all funds to maximize investment earnings. Investment income will be allocated to the various funds based on their respective participation and in accordance with generally accepted accounting principles.</w:t>
      </w:r>
    </w:p>
    <w:p w:rsidR="00D42623" w:rsidRDefault="00D42623">
      <w:pPr>
        <w:pStyle w:val="BodyText"/>
      </w:pPr>
    </w:p>
    <w:p w:rsidR="00D42623" w:rsidRDefault="00E9675F">
      <w:pPr>
        <w:pStyle w:val="ListParagraph"/>
        <w:numPr>
          <w:ilvl w:val="1"/>
          <w:numId w:val="5"/>
        </w:numPr>
        <w:tabs>
          <w:tab w:val="left" w:pos="1201"/>
        </w:tabs>
        <w:ind w:right="119" w:hanging="360"/>
        <w:jc w:val="both"/>
        <w:rPr>
          <w:sz w:val="20"/>
        </w:rPr>
      </w:pPr>
      <w:r>
        <w:rPr>
          <w:b/>
          <w:sz w:val="20"/>
        </w:rPr>
        <w:t>External Management of Funds</w:t>
      </w:r>
      <w:r>
        <w:rPr>
          <w:b/>
          <w:color w:val="FF0000"/>
          <w:sz w:val="20"/>
        </w:rPr>
        <w:t xml:space="preserve">. </w:t>
      </w:r>
      <w:r>
        <w:rPr>
          <w:sz w:val="20"/>
        </w:rPr>
        <w:t>Investment through external programs, facilities and professionals operating in a manner consistent with this policy will constitute compliance.</w:t>
      </w:r>
    </w:p>
    <w:p w:rsidR="00D42623" w:rsidRDefault="00D42623">
      <w:pPr>
        <w:pStyle w:val="BodyText"/>
        <w:spacing w:before="6"/>
        <w:rPr>
          <w:sz w:val="24"/>
        </w:rPr>
      </w:pPr>
    </w:p>
    <w:p w:rsidR="00D42623" w:rsidRDefault="00E9675F">
      <w:pPr>
        <w:pStyle w:val="Heading2"/>
        <w:numPr>
          <w:ilvl w:val="0"/>
          <w:numId w:val="5"/>
        </w:numPr>
        <w:tabs>
          <w:tab w:val="left" w:pos="342"/>
        </w:tabs>
        <w:ind w:left="341" w:hanging="222"/>
      </w:pPr>
      <w:r>
        <w:t>General</w:t>
      </w:r>
      <w:r>
        <w:rPr>
          <w:spacing w:val="-2"/>
        </w:rPr>
        <w:t xml:space="preserve"> </w:t>
      </w:r>
      <w:r>
        <w:t>Objectives</w:t>
      </w:r>
    </w:p>
    <w:p w:rsidR="00D42623" w:rsidRDefault="00D42623">
      <w:pPr>
        <w:pStyle w:val="BodyText"/>
        <w:spacing w:before="2"/>
        <w:rPr>
          <w:b/>
          <w:sz w:val="24"/>
        </w:rPr>
      </w:pPr>
    </w:p>
    <w:p w:rsidR="00D42623" w:rsidRDefault="00E9675F">
      <w:pPr>
        <w:pStyle w:val="BodyText"/>
        <w:ind w:left="119" w:right="222"/>
      </w:pPr>
      <w:r>
        <w:t>The primary objectives, in priority order, of investment activities shall be safety, liquidity, and yield:</w:t>
      </w:r>
    </w:p>
    <w:p w:rsidR="00D42623" w:rsidRDefault="00D42623">
      <w:pPr>
        <w:pStyle w:val="BodyText"/>
        <w:spacing w:before="4"/>
        <w:rPr>
          <w:sz w:val="24"/>
        </w:rPr>
      </w:pPr>
    </w:p>
    <w:p w:rsidR="00D42623" w:rsidRDefault="00E9675F">
      <w:pPr>
        <w:pStyle w:val="ListParagraph"/>
        <w:numPr>
          <w:ilvl w:val="1"/>
          <w:numId w:val="5"/>
        </w:numPr>
        <w:tabs>
          <w:tab w:val="left" w:pos="1209"/>
        </w:tabs>
        <w:spacing w:before="1"/>
        <w:ind w:right="116" w:hanging="360"/>
        <w:jc w:val="both"/>
        <w:rPr>
          <w:sz w:val="20"/>
        </w:rPr>
      </w:pPr>
      <w:r>
        <w:rPr>
          <w:b/>
          <w:sz w:val="20"/>
        </w:rPr>
        <w:t xml:space="preserve">Safety. </w:t>
      </w:r>
      <w:r>
        <w:rPr>
          <w:sz w:val="20"/>
        </w:rPr>
        <w:t>Safety of principal is the foremost objective of the investment program. Investments shall be undertaken in a manner that seeks to ensure the preservation of capital in the overall portfolio. The objective will be to mitigate credit risk and interest rate risk. This policy only includes investments authorized by the Missouri State Treasurer’s Model Investment</w:t>
      </w:r>
      <w:r>
        <w:rPr>
          <w:spacing w:val="-5"/>
          <w:sz w:val="20"/>
        </w:rPr>
        <w:t xml:space="preserve"> </w:t>
      </w:r>
      <w:r>
        <w:rPr>
          <w:sz w:val="20"/>
        </w:rPr>
        <w:t>Policy.</w:t>
      </w:r>
    </w:p>
    <w:p w:rsidR="00D42623" w:rsidRDefault="00D42623">
      <w:pPr>
        <w:pStyle w:val="BodyText"/>
        <w:spacing w:before="4"/>
        <w:rPr>
          <w:sz w:val="24"/>
        </w:rPr>
      </w:pPr>
    </w:p>
    <w:p w:rsidR="00D42623" w:rsidRDefault="00E9675F">
      <w:pPr>
        <w:pStyle w:val="ListParagraph"/>
        <w:numPr>
          <w:ilvl w:val="2"/>
          <w:numId w:val="5"/>
        </w:numPr>
        <w:tabs>
          <w:tab w:val="left" w:pos="1796"/>
        </w:tabs>
        <w:ind w:left="1560" w:right="117" w:firstLine="0"/>
        <w:rPr>
          <w:sz w:val="20"/>
        </w:rPr>
      </w:pPr>
      <w:r>
        <w:rPr>
          <w:b/>
          <w:sz w:val="20"/>
        </w:rPr>
        <w:t xml:space="preserve">Credit Risk. </w:t>
      </w:r>
      <w:r>
        <w:rPr>
          <w:sz w:val="20"/>
        </w:rPr>
        <w:t>The MCHCP will minimize credit risk, the risk of loss due to the failure of the security issuer or backer,</w:t>
      </w:r>
      <w:r>
        <w:rPr>
          <w:spacing w:val="-9"/>
          <w:sz w:val="20"/>
        </w:rPr>
        <w:t xml:space="preserve"> </w:t>
      </w:r>
      <w:r>
        <w:rPr>
          <w:sz w:val="20"/>
        </w:rPr>
        <w:t>by:</w:t>
      </w:r>
    </w:p>
    <w:p w:rsidR="00D42623" w:rsidRDefault="00D42623">
      <w:pPr>
        <w:pStyle w:val="BodyText"/>
        <w:spacing w:before="4"/>
        <w:rPr>
          <w:sz w:val="24"/>
        </w:rPr>
      </w:pPr>
    </w:p>
    <w:p w:rsidR="00D42623" w:rsidRDefault="00E9675F">
      <w:pPr>
        <w:pStyle w:val="ListParagraph"/>
        <w:numPr>
          <w:ilvl w:val="3"/>
          <w:numId w:val="5"/>
        </w:numPr>
        <w:tabs>
          <w:tab w:val="left" w:pos="2281"/>
        </w:tabs>
        <w:ind w:right="116" w:hanging="360"/>
        <w:rPr>
          <w:sz w:val="20"/>
        </w:rPr>
      </w:pPr>
      <w:r>
        <w:rPr>
          <w:sz w:val="20"/>
        </w:rPr>
        <w:t>Only authorizing investment types approved by the Missouri State Treasurer’s</w:t>
      </w:r>
      <w:r>
        <w:rPr>
          <w:spacing w:val="-1"/>
          <w:sz w:val="20"/>
        </w:rPr>
        <w:t xml:space="preserve"> </w:t>
      </w:r>
      <w:r>
        <w:rPr>
          <w:sz w:val="20"/>
        </w:rPr>
        <w:t>Office;</w:t>
      </w:r>
    </w:p>
    <w:p w:rsidR="00D42623" w:rsidRDefault="00E9675F">
      <w:pPr>
        <w:pStyle w:val="ListParagraph"/>
        <w:numPr>
          <w:ilvl w:val="3"/>
          <w:numId w:val="5"/>
        </w:numPr>
        <w:tabs>
          <w:tab w:val="left" w:pos="2279"/>
          <w:tab w:val="left" w:pos="2280"/>
        </w:tabs>
        <w:spacing w:before="1" w:line="230" w:lineRule="exact"/>
        <w:ind w:hanging="360"/>
        <w:jc w:val="left"/>
        <w:rPr>
          <w:sz w:val="20"/>
        </w:rPr>
      </w:pPr>
      <w:r>
        <w:rPr>
          <w:sz w:val="20"/>
        </w:rPr>
        <w:t>Limiting investments to the safest types of securities;</w:t>
      </w:r>
      <w:r>
        <w:rPr>
          <w:spacing w:val="-16"/>
          <w:sz w:val="20"/>
        </w:rPr>
        <w:t xml:space="preserve"> </w:t>
      </w:r>
      <w:r>
        <w:rPr>
          <w:sz w:val="20"/>
        </w:rPr>
        <w:t>and</w:t>
      </w:r>
    </w:p>
    <w:p w:rsidR="00D42623" w:rsidRDefault="00E9675F">
      <w:pPr>
        <w:pStyle w:val="ListParagraph"/>
        <w:numPr>
          <w:ilvl w:val="3"/>
          <w:numId w:val="5"/>
        </w:numPr>
        <w:tabs>
          <w:tab w:val="left" w:pos="2280"/>
        </w:tabs>
        <w:ind w:right="116" w:hanging="360"/>
        <w:rPr>
          <w:sz w:val="20"/>
        </w:rPr>
      </w:pPr>
      <w:r>
        <w:rPr>
          <w:sz w:val="20"/>
        </w:rPr>
        <w:t>Diversifying the investment portfolio so that potential losses on individual securities will be</w:t>
      </w:r>
      <w:r>
        <w:rPr>
          <w:spacing w:val="-4"/>
          <w:sz w:val="20"/>
        </w:rPr>
        <w:t xml:space="preserve"> </w:t>
      </w:r>
      <w:r>
        <w:rPr>
          <w:sz w:val="20"/>
        </w:rPr>
        <w:t>minimized.</w:t>
      </w:r>
    </w:p>
    <w:p w:rsidR="00D42623" w:rsidRDefault="00D42623">
      <w:pPr>
        <w:pStyle w:val="BodyText"/>
        <w:spacing w:before="4"/>
        <w:rPr>
          <w:sz w:val="24"/>
        </w:rPr>
      </w:pPr>
    </w:p>
    <w:p w:rsidR="00D42623" w:rsidRDefault="00E9675F">
      <w:pPr>
        <w:pStyle w:val="ListParagraph"/>
        <w:numPr>
          <w:ilvl w:val="2"/>
          <w:numId w:val="5"/>
        </w:numPr>
        <w:tabs>
          <w:tab w:val="left" w:pos="1807"/>
        </w:tabs>
        <w:ind w:right="118" w:firstLine="0"/>
        <w:rPr>
          <w:sz w:val="20"/>
        </w:rPr>
      </w:pPr>
      <w:r>
        <w:rPr>
          <w:b/>
          <w:sz w:val="20"/>
        </w:rPr>
        <w:t xml:space="preserve">Interest Rate Risk. </w:t>
      </w:r>
      <w:r>
        <w:rPr>
          <w:sz w:val="20"/>
        </w:rPr>
        <w:t>The MCHCP will minimize the risk that the market value of</w:t>
      </w:r>
      <w:r>
        <w:rPr>
          <w:spacing w:val="-4"/>
          <w:sz w:val="20"/>
        </w:rPr>
        <w:t xml:space="preserve"> </w:t>
      </w:r>
      <w:r>
        <w:rPr>
          <w:sz w:val="20"/>
        </w:rPr>
        <w:t>securities</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portfolio</w:t>
      </w:r>
      <w:r>
        <w:rPr>
          <w:spacing w:val="-5"/>
          <w:sz w:val="20"/>
        </w:rPr>
        <w:t xml:space="preserve"> </w:t>
      </w:r>
      <w:r>
        <w:rPr>
          <w:sz w:val="20"/>
        </w:rPr>
        <w:t>will</w:t>
      </w:r>
      <w:r>
        <w:rPr>
          <w:spacing w:val="-4"/>
          <w:sz w:val="20"/>
        </w:rPr>
        <w:t xml:space="preserve"> </w:t>
      </w:r>
      <w:r>
        <w:rPr>
          <w:sz w:val="20"/>
        </w:rPr>
        <w:t>fall</w:t>
      </w:r>
      <w:r>
        <w:rPr>
          <w:spacing w:val="-4"/>
          <w:sz w:val="20"/>
        </w:rPr>
        <w:t xml:space="preserve"> </w:t>
      </w:r>
      <w:r>
        <w:rPr>
          <w:sz w:val="20"/>
        </w:rPr>
        <w:t>due</w:t>
      </w:r>
      <w:r>
        <w:rPr>
          <w:spacing w:val="-4"/>
          <w:sz w:val="20"/>
        </w:rPr>
        <w:t xml:space="preserve"> </w:t>
      </w:r>
      <w:r>
        <w:rPr>
          <w:sz w:val="20"/>
        </w:rPr>
        <w:t>to</w:t>
      </w:r>
      <w:r>
        <w:rPr>
          <w:spacing w:val="-4"/>
          <w:sz w:val="20"/>
        </w:rPr>
        <w:t xml:space="preserve"> </w:t>
      </w:r>
      <w:r>
        <w:rPr>
          <w:sz w:val="20"/>
        </w:rPr>
        <w:t>changes</w:t>
      </w:r>
      <w:r>
        <w:rPr>
          <w:spacing w:val="-4"/>
          <w:sz w:val="20"/>
        </w:rPr>
        <w:t xml:space="preserve"> </w:t>
      </w:r>
      <w:r>
        <w:rPr>
          <w:sz w:val="20"/>
        </w:rPr>
        <w:t>in</w:t>
      </w:r>
      <w:r>
        <w:rPr>
          <w:spacing w:val="-5"/>
          <w:sz w:val="20"/>
        </w:rPr>
        <w:t xml:space="preserve"> </w:t>
      </w:r>
      <w:r>
        <w:rPr>
          <w:sz w:val="20"/>
        </w:rPr>
        <w:t>general</w:t>
      </w:r>
      <w:r>
        <w:rPr>
          <w:spacing w:val="-4"/>
          <w:sz w:val="20"/>
        </w:rPr>
        <w:t xml:space="preserve"> </w:t>
      </w:r>
      <w:r>
        <w:rPr>
          <w:sz w:val="20"/>
        </w:rPr>
        <w:t>interest</w:t>
      </w:r>
      <w:r>
        <w:rPr>
          <w:spacing w:val="-4"/>
          <w:sz w:val="20"/>
        </w:rPr>
        <w:t xml:space="preserve"> </w:t>
      </w:r>
      <w:r>
        <w:rPr>
          <w:sz w:val="20"/>
        </w:rPr>
        <w:t>rates,</w:t>
      </w:r>
      <w:r>
        <w:rPr>
          <w:spacing w:val="-4"/>
          <w:sz w:val="20"/>
        </w:rPr>
        <w:t xml:space="preserve"> </w:t>
      </w:r>
      <w:r>
        <w:rPr>
          <w:sz w:val="20"/>
        </w:rPr>
        <w:t>by:</w:t>
      </w:r>
    </w:p>
    <w:p w:rsidR="00D42623" w:rsidRDefault="00D42623">
      <w:pPr>
        <w:pStyle w:val="BodyText"/>
        <w:spacing w:before="3"/>
        <w:rPr>
          <w:sz w:val="24"/>
        </w:rPr>
      </w:pPr>
    </w:p>
    <w:p w:rsidR="00D42623" w:rsidRDefault="00E9675F">
      <w:pPr>
        <w:pStyle w:val="ListParagraph"/>
        <w:numPr>
          <w:ilvl w:val="3"/>
          <w:numId w:val="5"/>
        </w:numPr>
        <w:tabs>
          <w:tab w:val="left" w:pos="2280"/>
        </w:tabs>
        <w:ind w:right="116" w:hanging="360"/>
        <w:rPr>
          <w:sz w:val="20"/>
        </w:rPr>
      </w:pPr>
      <w:r>
        <w:rPr>
          <w:sz w:val="20"/>
        </w:rPr>
        <w:t>Structuring the investment portfolio so that securities mature to meet cash requirements for ongoing operations (static liquidity), thereby avoiding</w:t>
      </w:r>
      <w:r>
        <w:rPr>
          <w:spacing w:val="-4"/>
          <w:sz w:val="20"/>
        </w:rPr>
        <w:t xml:space="preserve"> </w:t>
      </w:r>
      <w:r>
        <w:rPr>
          <w:sz w:val="20"/>
        </w:rPr>
        <w:t>the</w:t>
      </w:r>
      <w:r>
        <w:rPr>
          <w:spacing w:val="-5"/>
          <w:sz w:val="20"/>
        </w:rPr>
        <w:t xml:space="preserve"> </w:t>
      </w:r>
      <w:r>
        <w:rPr>
          <w:sz w:val="20"/>
        </w:rPr>
        <w:t>need</w:t>
      </w:r>
      <w:r>
        <w:rPr>
          <w:spacing w:val="-4"/>
          <w:sz w:val="20"/>
        </w:rPr>
        <w:t xml:space="preserve"> </w:t>
      </w:r>
      <w:r>
        <w:rPr>
          <w:sz w:val="20"/>
        </w:rPr>
        <w:t>to</w:t>
      </w:r>
      <w:r>
        <w:rPr>
          <w:spacing w:val="-4"/>
          <w:sz w:val="20"/>
        </w:rPr>
        <w:t xml:space="preserve"> </w:t>
      </w:r>
      <w:r>
        <w:rPr>
          <w:sz w:val="20"/>
        </w:rPr>
        <w:t>sell</w:t>
      </w:r>
      <w:r>
        <w:rPr>
          <w:spacing w:val="-4"/>
          <w:sz w:val="20"/>
        </w:rPr>
        <w:t xml:space="preserve"> </w:t>
      </w:r>
      <w:r>
        <w:rPr>
          <w:sz w:val="20"/>
        </w:rPr>
        <w:t>securities</w:t>
      </w:r>
      <w:r>
        <w:rPr>
          <w:spacing w:val="-4"/>
          <w:sz w:val="20"/>
        </w:rPr>
        <w:t xml:space="preserve"> </w:t>
      </w:r>
      <w:r>
        <w:rPr>
          <w:sz w:val="20"/>
        </w:rPr>
        <w:t>on</w:t>
      </w:r>
      <w:r>
        <w:rPr>
          <w:spacing w:val="-4"/>
          <w:sz w:val="20"/>
        </w:rPr>
        <w:t xml:space="preserve"> </w:t>
      </w:r>
      <w:r>
        <w:rPr>
          <w:sz w:val="20"/>
        </w:rPr>
        <w:t>the</w:t>
      </w:r>
      <w:r>
        <w:rPr>
          <w:spacing w:val="-4"/>
          <w:sz w:val="20"/>
        </w:rPr>
        <w:t xml:space="preserve"> </w:t>
      </w:r>
      <w:r>
        <w:rPr>
          <w:sz w:val="20"/>
        </w:rPr>
        <w:t>open</w:t>
      </w:r>
      <w:r>
        <w:rPr>
          <w:spacing w:val="-4"/>
          <w:sz w:val="20"/>
        </w:rPr>
        <w:t xml:space="preserve"> </w:t>
      </w:r>
      <w:r>
        <w:rPr>
          <w:sz w:val="20"/>
        </w:rPr>
        <w:t>market</w:t>
      </w:r>
      <w:r>
        <w:rPr>
          <w:spacing w:val="-4"/>
          <w:sz w:val="20"/>
        </w:rPr>
        <w:t xml:space="preserve"> </w:t>
      </w:r>
      <w:r>
        <w:rPr>
          <w:sz w:val="20"/>
        </w:rPr>
        <w:t>prior</w:t>
      </w:r>
      <w:r>
        <w:rPr>
          <w:spacing w:val="-4"/>
          <w:sz w:val="20"/>
        </w:rPr>
        <w:t xml:space="preserve"> </w:t>
      </w:r>
      <w:r>
        <w:rPr>
          <w:sz w:val="20"/>
        </w:rPr>
        <w:t>to</w:t>
      </w:r>
      <w:r>
        <w:rPr>
          <w:spacing w:val="-4"/>
          <w:sz w:val="20"/>
        </w:rPr>
        <w:t xml:space="preserve"> </w:t>
      </w:r>
      <w:r>
        <w:rPr>
          <w:sz w:val="20"/>
        </w:rPr>
        <w:t>maturity;</w:t>
      </w:r>
    </w:p>
    <w:p w:rsidR="00D42623" w:rsidRDefault="00E9675F">
      <w:pPr>
        <w:pStyle w:val="ListParagraph"/>
        <w:numPr>
          <w:ilvl w:val="3"/>
          <w:numId w:val="5"/>
        </w:numPr>
        <w:tabs>
          <w:tab w:val="left" w:pos="2280"/>
        </w:tabs>
        <w:ind w:right="117" w:hanging="360"/>
        <w:rPr>
          <w:sz w:val="20"/>
        </w:rPr>
      </w:pPr>
      <w:r>
        <w:rPr>
          <w:sz w:val="20"/>
        </w:rPr>
        <w:t>Using cash flow modeling to moderate the interest rate risk of the portfolio by reducing any unanticipated security sales which could result in a loss of principal;</w:t>
      </w:r>
      <w:r>
        <w:rPr>
          <w:spacing w:val="-6"/>
          <w:sz w:val="20"/>
        </w:rPr>
        <w:t xml:space="preserve"> </w:t>
      </w:r>
      <w:r>
        <w:rPr>
          <w:sz w:val="20"/>
        </w:rPr>
        <w:t>and</w:t>
      </w:r>
    </w:p>
    <w:p w:rsidR="00D42623" w:rsidRDefault="00E9675F">
      <w:pPr>
        <w:pStyle w:val="ListParagraph"/>
        <w:numPr>
          <w:ilvl w:val="3"/>
          <w:numId w:val="5"/>
        </w:numPr>
        <w:tabs>
          <w:tab w:val="left" w:pos="2280"/>
        </w:tabs>
        <w:spacing w:before="1"/>
        <w:ind w:right="117" w:hanging="360"/>
        <w:rPr>
          <w:sz w:val="20"/>
        </w:rPr>
      </w:pPr>
      <w:r>
        <w:rPr>
          <w:sz w:val="20"/>
        </w:rPr>
        <w:t>Maintaining the operating funds primarily in re-purchase agreements according to the current banking contract. This will be accomplished</w:t>
      </w:r>
      <w:r>
        <w:rPr>
          <w:spacing w:val="11"/>
          <w:sz w:val="20"/>
        </w:rPr>
        <w:t xml:space="preserve"> </w:t>
      </w:r>
      <w:r>
        <w:rPr>
          <w:sz w:val="20"/>
        </w:rPr>
        <w:t>by:</w:t>
      </w:r>
    </w:p>
    <w:p w:rsidR="00D42623" w:rsidRDefault="00D42623">
      <w:pPr>
        <w:jc w:val="both"/>
        <w:rPr>
          <w:sz w:val="20"/>
        </w:rPr>
        <w:sectPr w:rsidR="00D42623">
          <w:footerReference w:type="default" r:id="rId7"/>
          <w:type w:val="continuous"/>
          <w:pgSz w:w="12240" w:h="15840"/>
          <w:pgMar w:top="1360" w:right="1680" w:bottom="1100" w:left="1680" w:header="720" w:footer="907" w:gutter="0"/>
          <w:pgNumType w:start="1"/>
          <w:cols w:space="720"/>
        </w:sectPr>
      </w:pPr>
    </w:p>
    <w:p w:rsidR="00D42623" w:rsidRDefault="00E9675F">
      <w:pPr>
        <w:pStyle w:val="ListParagraph"/>
        <w:numPr>
          <w:ilvl w:val="0"/>
          <w:numId w:val="4"/>
        </w:numPr>
        <w:tabs>
          <w:tab w:val="left" w:pos="3001"/>
        </w:tabs>
        <w:spacing w:before="77"/>
        <w:ind w:hanging="359"/>
        <w:rPr>
          <w:sz w:val="20"/>
        </w:rPr>
      </w:pPr>
      <w:r>
        <w:rPr>
          <w:sz w:val="20"/>
        </w:rPr>
        <w:lastRenderedPageBreak/>
        <w:t>A study of historic cash flows in each individual</w:t>
      </w:r>
      <w:r>
        <w:rPr>
          <w:spacing w:val="-23"/>
          <w:sz w:val="20"/>
        </w:rPr>
        <w:t xml:space="preserve"> </w:t>
      </w:r>
      <w:r>
        <w:rPr>
          <w:sz w:val="20"/>
        </w:rPr>
        <w:t>account;</w:t>
      </w:r>
    </w:p>
    <w:p w:rsidR="00D42623" w:rsidRDefault="00E9675F">
      <w:pPr>
        <w:pStyle w:val="ListParagraph"/>
        <w:numPr>
          <w:ilvl w:val="0"/>
          <w:numId w:val="4"/>
        </w:numPr>
        <w:tabs>
          <w:tab w:val="left" w:pos="3001"/>
        </w:tabs>
        <w:ind w:right="116" w:hanging="359"/>
        <w:jc w:val="both"/>
        <w:rPr>
          <w:sz w:val="20"/>
        </w:rPr>
      </w:pPr>
      <w:r>
        <w:rPr>
          <w:sz w:val="20"/>
        </w:rPr>
        <w:t>An analysis of the current environment and a projection of the future cash flow</w:t>
      </w:r>
      <w:r>
        <w:rPr>
          <w:spacing w:val="-3"/>
          <w:sz w:val="20"/>
        </w:rPr>
        <w:t xml:space="preserve"> </w:t>
      </w:r>
      <w:r>
        <w:rPr>
          <w:sz w:val="20"/>
        </w:rPr>
        <w:t>requirements;</w:t>
      </w:r>
    </w:p>
    <w:p w:rsidR="00D42623" w:rsidRDefault="00E9675F">
      <w:pPr>
        <w:pStyle w:val="ListParagraph"/>
        <w:numPr>
          <w:ilvl w:val="0"/>
          <w:numId w:val="4"/>
        </w:numPr>
        <w:tabs>
          <w:tab w:val="left" w:pos="3001"/>
        </w:tabs>
        <w:ind w:right="118" w:hanging="359"/>
        <w:jc w:val="both"/>
        <w:rPr>
          <w:sz w:val="20"/>
        </w:rPr>
      </w:pPr>
      <w:r>
        <w:rPr>
          <w:sz w:val="20"/>
        </w:rPr>
        <w:t>A combination of a) and b) above will result in a baseline number of which excess funds may be</w:t>
      </w:r>
      <w:r>
        <w:rPr>
          <w:spacing w:val="-6"/>
          <w:sz w:val="20"/>
        </w:rPr>
        <w:t xml:space="preserve"> </w:t>
      </w:r>
      <w:r>
        <w:rPr>
          <w:sz w:val="20"/>
        </w:rPr>
        <w:t>invested;</w:t>
      </w:r>
    </w:p>
    <w:p w:rsidR="00D42623" w:rsidRDefault="00E9675F">
      <w:pPr>
        <w:pStyle w:val="ListParagraph"/>
        <w:numPr>
          <w:ilvl w:val="0"/>
          <w:numId w:val="4"/>
        </w:numPr>
        <w:tabs>
          <w:tab w:val="left" w:pos="3001"/>
        </w:tabs>
        <w:ind w:right="115" w:hanging="359"/>
        <w:jc w:val="both"/>
        <w:rPr>
          <w:sz w:val="20"/>
        </w:rPr>
      </w:pPr>
      <w:r>
        <w:rPr>
          <w:sz w:val="20"/>
        </w:rPr>
        <w:t>The portfolio shall consist largely of securities with active secondary or resale markets (dynamic liquidity) due to the fact that all possible cash demands cannot be reasonably anticipated;</w:t>
      </w:r>
      <w:r>
        <w:rPr>
          <w:spacing w:val="-2"/>
          <w:sz w:val="20"/>
        </w:rPr>
        <w:t xml:space="preserve"> </w:t>
      </w:r>
      <w:r>
        <w:rPr>
          <w:sz w:val="20"/>
        </w:rPr>
        <w:t>and</w:t>
      </w:r>
    </w:p>
    <w:p w:rsidR="00D42623" w:rsidRDefault="00E9675F">
      <w:pPr>
        <w:pStyle w:val="ListParagraph"/>
        <w:numPr>
          <w:ilvl w:val="0"/>
          <w:numId w:val="4"/>
        </w:numPr>
        <w:tabs>
          <w:tab w:val="left" w:pos="3001"/>
        </w:tabs>
        <w:spacing w:before="1"/>
        <w:ind w:right="117" w:hanging="359"/>
        <w:jc w:val="both"/>
        <w:rPr>
          <w:sz w:val="20"/>
        </w:rPr>
      </w:pPr>
      <w:r>
        <w:rPr>
          <w:sz w:val="20"/>
        </w:rPr>
        <w:t>Using securities as collateral for borrowing short-term funds from Central Bank in the event that cash flow needs exceed balances (reverse repurchase agreement) as a failsafe</w:t>
      </w:r>
      <w:r>
        <w:rPr>
          <w:spacing w:val="-8"/>
          <w:sz w:val="20"/>
        </w:rPr>
        <w:t xml:space="preserve"> </w:t>
      </w:r>
      <w:r>
        <w:rPr>
          <w:sz w:val="20"/>
        </w:rPr>
        <w:t>procedure.</w:t>
      </w:r>
    </w:p>
    <w:p w:rsidR="00D42623" w:rsidRDefault="00D42623">
      <w:pPr>
        <w:pStyle w:val="BodyText"/>
        <w:spacing w:before="3"/>
        <w:rPr>
          <w:sz w:val="24"/>
        </w:rPr>
      </w:pPr>
    </w:p>
    <w:p w:rsidR="00D42623" w:rsidRDefault="00E9675F">
      <w:pPr>
        <w:pStyle w:val="ListParagraph"/>
        <w:numPr>
          <w:ilvl w:val="1"/>
          <w:numId w:val="5"/>
        </w:numPr>
        <w:tabs>
          <w:tab w:val="left" w:pos="1255"/>
        </w:tabs>
        <w:ind w:right="116" w:hanging="359"/>
        <w:jc w:val="both"/>
        <w:rPr>
          <w:sz w:val="20"/>
        </w:rPr>
      </w:pPr>
      <w:r>
        <w:rPr>
          <w:b/>
          <w:sz w:val="20"/>
        </w:rPr>
        <w:t xml:space="preserve">Liquidity. </w:t>
      </w:r>
      <w:r>
        <w:rPr>
          <w:sz w:val="20"/>
        </w:rPr>
        <w:t>The investment portfolio shall remain sufficiently liquid to meet all operating requirements that may be reasonably anticipated. This is accomplished by structuring the portfolio so that securities mature concurrent with cash needs to meet anticipated demands (static liquidity). Furthermore, since all possible cash demands cannot be anticipated, the portfolio should consist largely of securities with active secondary or resale markets (dynamic liquidity). A portion of the portfolio also may  be placed in bank deposits or repurchase agreements that offer same-day liquidity for short-term funds. Further, MCHCP shall have the ability to borrow against its assets in the investment portfolio at a reasonable cost in order to remain sufficiently</w:t>
      </w:r>
      <w:r>
        <w:rPr>
          <w:spacing w:val="-33"/>
          <w:sz w:val="20"/>
        </w:rPr>
        <w:t xml:space="preserve"> </w:t>
      </w:r>
      <w:r>
        <w:rPr>
          <w:sz w:val="20"/>
        </w:rPr>
        <w:t>liquid.</w:t>
      </w:r>
    </w:p>
    <w:p w:rsidR="00D42623" w:rsidRDefault="00D42623">
      <w:pPr>
        <w:pStyle w:val="BodyText"/>
        <w:spacing w:before="5"/>
        <w:rPr>
          <w:sz w:val="24"/>
        </w:rPr>
      </w:pPr>
    </w:p>
    <w:p w:rsidR="00D42623" w:rsidRDefault="00E9675F">
      <w:pPr>
        <w:pStyle w:val="ListParagraph"/>
        <w:numPr>
          <w:ilvl w:val="1"/>
          <w:numId w:val="5"/>
        </w:numPr>
        <w:tabs>
          <w:tab w:val="left" w:pos="1180"/>
        </w:tabs>
        <w:ind w:right="115" w:hanging="360"/>
        <w:jc w:val="both"/>
        <w:rPr>
          <w:sz w:val="20"/>
        </w:rPr>
      </w:pPr>
      <w:r>
        <w:rPr>
          <w:b/>
          <w:sz w:val="20"/>
        </w:rPr>
        <w:t xml:space="preserve">Yield. </w:t>
      </w:r>
      <w:r>
        <w:rPr>
          <w:sz w:val="20"/>
        </w:rPr>
        <w:t>The investment portfolio shall be designed with the objective of attaining a market rate of return throughout budgetary and economic cycles, taking into account the investment risk constraints and liquidity needs. Return on investment is of secondary importance compared to the safety and liquidity objectives described above. The core investments are limited to relatively low risk securities in anticipation of earning a fair return relative to the risk being assumed. Securities shall not be sold prior to maturity with the following</w:t>
      </w:r>
      <w:r>
        <w:rPr>
          <w:spacing w:val="-9"/>
          <w:sz w:val="20"/>
        </w:rPr>
        <w:t xml:space="preserve"> </w:t>
      </w:r>
      <w:r>
        <w:rPr>
          <w:sz w:val="20"/>
        </w:rPr>
        <w:t>exceptions:</w:t>
      </w:r>
    </w:p>
    <w:p w:rsidR="00D42623" w:rsidRDefault="00D42623">
      <w:pPr>
        <w:pStyle w:val="BodyText"/>
        <w:spacing w:before="4"/>
        <w:rPr>
          <w:sz w:val="24"/>
        </w:rPr>
      </w:pPr>
    </w:p>
    <w:p w:rsidR="00D42623" w:rsidRDefault="00E9675F">
      <w:pPr>
        <w:pStyle w:val="ListParagraph"/>
        <w:numPr>
          <w:ilvl w:val="0"/>
          <w:numId w:val="3"/>
        </w:numPr>
        <w:tabs>
          <w:tab w:val="left" w:pos="1559"/>
          <w:tab w:val="left" w:pos="1560"/>
        </w:tabs>
        <w:spacing w:line="239" w:lineRule="exact"/>
        <w:jc w:val="left"/>
        <w:rPr>
          <w:sz w:val="20"/>
        </w:rPr>
      </w:pPr>
      <w:r>
        <w:rPr>
          <w:sz w:val="20"/>
        </w:rPr>
        <w:t>A</w:t>
      </w:r>
      <w:r>
        <w:rPr>
          <w:spacing w:val="-4"/>
          <w:sz w:val="20"/>
        </w:rPr>
        <w:t xml:space="preserve"> </w:t>
      </w:r>
      <w:r>
        <w:rPr>
          <w:sz w:val="20"/>
        </w:rPr>
        <w:t>security</w:t>
      </w:r>
      <w:r>
        <w:rPr>
          <w:spacing w:val="-4"/>
          <w:sz w:val="20"/>
        </w:rPr>
        <w:t xml:space="preserve"> </w:t>
      </w:r>
      <w:r>
        <w:rPr>
          <w:sz w:val="20"/>
        </w:rPr>
        <w:t>with</w:t>
      </w:r>
      <w:r>
        <w:rPr>
          <w:spacing w:val="-4"/>
          <w:sz w:val="20"/>
        </w:rPr>
        <w:t xml:space="preserve"> </w:t>
      </w:r>
      <w:r>
        <w:rPr>
          <w:sz w:val="20"/>
        </w:rPr>
        <w:t>declining</w:t>
      </w:r>
      <w:r>
        <w:rPr>
          <w:spacing w:val="-5"/>
          <w:sz w:val="20"/>
        </w:rPr>
        <w:t xml:space="preserve"> </w:t>
      </w:r>
      <w:r>
        <w:rPr>
          <w:sz w:val="20"/>
        </w:rPr>
        <w:t>credit</w:t>
      </w:r>
      <w:r>
        <w:rPr>
          <w:spacing w:val="-4"/>
          <w:sz w:val="20"/>
        </w:rPr>
        <w:t xml:space="preserve"> </w:t>
      </w:r>
      <w:r>
        <w:rPr>
          <w:sz w:val="20"/>
        </w:rPr>
        <w:t>may</w:t>
      </w:r>
      <w:r>
        <w:rPr>
          <w:spacing w:val="-4"/>
          <w:sz w:val="20"/>
        </w:rPr>
        <w:t xml:space="preserve"> </w:t>
      </w:r>
      <w:r>
        <w:rPr>
          <w:sz w:val="20"/>
        </w:rPr>
        <w:t>be</w:t>
      </w:r>
      <w:r>
        <w:rPr>
          <w:spacing w:val="-4"/>
          <w:sz w:val="20"/>
        </w:rPr>
        <w:t xml:space="preserve"> </w:t>
      </w:r>
      <w:r>
        <w:rPr>
          <w:sz w:val="20"/>
        </w:rPr>
        <w:t>sold</w:t>
      </w:r>
      <w:r>
        <w:rPr>
          <w:spacing w:val="-4"/>
          <w:sz w:val="20"/>
        </w:rPr>
        <w:t xml:space="preserve"> </w:t>
      </w:r>
      <w:r>
        <w:rPr>
          <w:sz w:val="20"/>
        </w:rPr>
        <w:t>early</w:t>
      </w:r>
      <w:r>
        <w:rPr>
          <w:spacing w:val="-4"/>
          <w:sz w:val="20"/>
        </w:rPr>
        <w:t xml:space="preserve"> </w:t>
      </w:r>
      <w:r>
        <w:rPr>
          <w:sz w:val="20"/>
        </w:rPr>
        <w:t>to</w:t>
      </w:r>
      <w:r>
        <w:rPr>
          <w:spacing w:val="-4"/>
          <w:sz w:val="20"/>
        </w:rPr>
        <w:t xml:space="preserve"> </w:t>
      </w:r>
      <w:r>
        <w:rPr>
          <w:sz w:val="20"/>
        </w:rPr>
        <w:t>minimize</w:t>
      </w:r>
      <w:r>
        <w:rPr>
          <w:spacing w:val="-4"/>
          <w:sz w:val="20"/>
        </w:rPr>
        <w:t xml:space="preserve"> </w:t>
      </w:r>
      <w:r>
        <w:rPr>
          <w:sz w:val="20"/>
        </w:rPr>
        <w:t>loss</w:t>
      </w:r>
      <w:r>
        <w:rPr>
          <w:spacing w:val="-4"/>
          <w:sz w:val="20"/>
        </w:rPr>
        <w:t xml:space="preserve"> </w:t>
      </w:r>
      <w:r>
        <w:rPr>
          <w:sz w:val="20"/>
        </w:rPr>
        <w:t>of</w:t>
      </w:r>
      <w:r>
        <w:rPr>
          <w:spacing w:val="-4"/>
          <w:sz w:val="20"/>
        </w:rPr>
        <w:t xml:space="preserve"> </w:t>
      </w:r>
      <w:r>
        <w:rPr>
          <w:sz w:val="20"/>
        </w:rPr>
        <w:t>principal.</w:t>
      </w:r>
    </w:p>
    <w:p w:rsidR="00D42623" w:rsidRDefault="00E9675F">
      <w:pPr>
        <w:pStyle w:val="ListParagraph"/>
        <w:numPr>
          <w:ilvl w:val="0"/>
          <w:numId w:val="3"/>
        </w:numPr>
        <w:tabs>
          <w:tab w:val="left" w:pos="1559"/>
          <w:tab w:val="left" w:pos="1560"/>
        </w:tabs>
        <w:spacing w:before="4" w:line="223" w:lineRule="auto"/>
        <w:ind w:right="118"/>
        <w:jc w:val="left"/>
        <w:rPr>
          <w:sz w:val="20"/>
        </w:rPr>
      </w:pPr>
      <w:r>
        <w:rPr>
          <w:sz w:val="20"/>
        </w:rPr>
        <w:t>A security exchange would improve the quality, yield, or target duration in the portfolio;</w:t>
      </w:r>
      <w:r>
        <w:rPr>
          <w:spacing w:val="-2"/>
          <w:sz w:val="20"/>
        </w:rPr>
        <w:t xml:space="preserve"> </w:t>
      </w:r>
      <w:r>
        <w:rPr>
          <w:sz w:val="20"/>
        </w:rPr>
        <w:t>or</w:t>
      </w:r>
    </w:p>
    <w:p w:rsidR="00D42623" w:rsidRDefault="00E9675F">
      <w:pPr>
        <w:pStyle w:val="ListParagraph"/>
        <w:numPr>
          <w:ilvl w:val="0"/>
          <w:numId w:val="3"/>
        </w:numPr>
        <w:tabs>
          <w:tab w:val="left" w:pos="1560"/>
          <w:tab w:val="left" w:pos="1561"/>
        </w:tabs>
        <w:spacing w:before="2"/>
        <w:ind w:hanging="360"/>
        <w:jc w:val="left"/>
        <w:rPr>
          <w:sz w:val="20"/>
        </w:rPr>
      </w:pPr>
      <w:r>
        <w:rPr>
          <w:sz w:val="20"/>
        </w:rPr>
        <w:t>Liquidity needs of the portfolio require that the security be</w:t>
      </w:r>
      <w:r>
        <w:rPr>
          <w:spacing w:val="-20"/>
          <w:sz w:val="20"/>
        </w:rPr>
        <w:t xml:space="preserve"> </w:t>
      </w:r>
      <w:r>
        <w:rPr>
          <w:sz w:val="20"/>
        </w:rPr>
        <w:t>sold.</w:t>
      </w:r>
    </w:p>
    <w:p w:rsidR="00D42623" w:rsidRDefault="00D42623">
      <w:pPr>
        <w:pStyle w:val="BodyText"/>
        <w:spacing w:before="10"/>
        <w:rPr>
          <w:sz w:val="22"/>
        </w:rPr>
      </w:pPr>
    </w:p>
    <w:p w:rsidR="00D42623" w:rsidRDefault="00E9675F">
      <w:pPr>
        <w:pStyle w:val="Heading2"/>
        <w:numPr>
          <w:ilvl w:val="0"/>
          <w:numId w:val="5"/>
        </w:numPr>
        <w:tabs>
          <w:tab w:val="left" w:pos="399"/>
        </w:tabs>
        <w:spacing w:before="1"/>
        <w:ind w:left="398" w:hanging="278"/>
      </w:pPr>
      <w:r>
        <w:t>Standards of</w:t>
      </w:r>
      <w:r>
        <w:rPr>
          <w:spacing w:val="-3"/>
        </w:rPr>
        <w:t xml:space="preserve"> </w:t>
      </w:r>
      <w:r>
        <w:t>Care</w:t>
      </w:r>
    </w:p>
    <w:p w:rsidR="00D42623" w:rsidRDefault="00D42623">
      <w:pPr>
        <w:pStyle w:val="BodyText"/>
        <w:spacing w:before="2"/>
        <w:rPr>
          <w:b/>
          <w:sz w:val="24"/>
        </w:rPr>
      </w:pPr>
    </w:p>
    <w:p w:rsidR="00D42623" w:rsidRDefault="00E9675F">
      <w:pPr>
        <w:pStyle w:val="ListParagraph"/>
        <w:numPr>
          <w:ilvl w:val="1"/>
          <w:numId w:val="5"/>
        </w:numPr>
        <w:tabs>
          <w:tab w:val="left" w:pos="1173"/>
        </w:tabs>
        <w:ind w:left="1200" w:right="208" w:hanging="360"/>
        <w:rPr>
          <w:sz w:val="20"/>
        </w:rPr>
      </w:pPr>
      <w:r>
        <w:rPr>
          <w:b/>
          <w:sz w:val="20"/>
        </w:rPr>
        <w:t xml:space="preserve">Prudence. </w:t>
      </w:r>
      <w:r>
        <w:rPr>
          <w:sz w:val="20"/>
        </w:rPr>
        <w:t>The standard of care to be used by investment officers shall be the “prudent person” standard and shall be applied in the context of managing an</w:t>
      </w:r>
      <w:r>
        <w:rPr>
          <w:spacing w:val="-37"/>
          <w:sz w:val="20"/>
        </w:rPr>
        <w:t xml:space="preserve"> </w:t>
      </w:r>
      <w:r>
        <w:rPr>
          <w:sz w:val="20"/>
        </w:rPr>
        <w:t>overall portfolio. Investment officers acting in accordance with written procedures and this investment policy and exercising due diligence shall be relieved of personal liability for an individual security’s credit risk or market price changes, provided deviations from expectations are reported in a timely fashion to the MCHCP Executive Director and the liquidity and the sale of securities are carried out in accordance with the terms of this</w:t>
      </w:r>
      <w:r>
        <w:rPr>
          <w:spacing w:val="-3"/>
          <w:sz w:val="20"/>
        </w:rPr>
        <w:t xml:space="preserve"> </w:t>
      </w:r>
      <w:r>
        <w:rPr>
          <w:sz w:val="20"/>
        </w:rPr>
        <w:t>policy.</w:t>
      </w:r>
    </w:p>
    <w:p w:rsidR="00D42623" w:rsidRDefault="00E9675F">
      <w:pPr>
        <w:pStyle w:val="BodyText"/>
        <w:spacing w:before="119"/>
        <w:ind w:left="1200" w:right="222"/>
      </w:pPr>
      <w:r>
        <w:t>Investments shall be made with judgment and care, under circumstances then prevailing, which persons of prudence, discretion and intelligence exercise in the management of their own affairs, not for speculation, but for investment, considering the probable safety of their capital as well as the probable income to be derived.</w:t>
      </w:r>
    </w:p>
    <w:p w:rsidR="00D42623" w:rsidRDefault="00D42623">
      <w:pPr>
        <w:pStyle w:val="BodyText"/>
        <w:spacing w:before="4"/>
        <w:rPr>
          <w:sz w:val="24"/>
        </w:rPr>
      </w:pPr>
    </w:p>
    <w:p w:rsidR="00D42623" w:rsidRDefault="00E9675F">
      <w:pPr>
        <w:pStyle w:val="ListParagraph"/>
        <w:numPr>
          <w:ilvl w:val="1"/>
          <w:numId w:val="5"/>
        </w:numPr>
        <w:tabs>
          <w:tab w:val="left" w:pos="1177"/>
        </w:tabs>
        <w:ind w:left="1200" w:right="113" w:hanging="360"/>
        <w:jc w:val="both"/>
        <w:rPr>
          <w:sz w:val="20"/>
        </w:rPr>
      </w:pPr>
      <w:r>
        <w:rPr>
          <w:b/>
          <w:sz w:val="20"/>
        </w:rPr>
        <w:t xml:space="preserve">Ethics and Conflicts of Interest. </w:t>
      </w:r>
      <w:r>
        <w:rPr>
          <w:sz w:val="20"/>
        </w:rPr>
        <w:t>Officers and employees involved in the investment process shall refrain from personal business activity that could conflict with the proper execution and management of the investment program, or that could impair</w:t>
      </w:r>
      <w:r>
        <w:rPr>
          <w:spacing w:val="-4"/>
          <w:sz w:val="20"/>
        </w:rPr>
        <w:t xml:space="preserve"> </w:t>
      </w:r>
      <w:r>
        <w:rPr>
          <w:sz w:val="20"/>
        </w:rPr>
        <w:t>their</w:t>
      </w:r>
    </w:p>
    <w:p w:rsidR="00D42623" w:rsidRDefault="00D42623">
      <w:pPr>
        <w:jc w:val="both"/>
        <w:rPr>
          <w:sz w:val="20"/>
        </w:rPr>
        <w:sectPr w:rsidR="00D42623">
          <w:pgSz w:w="12240" w:h="15840"/>
          <w:pgMar w:top="1360" w:right="1680" w:bottom="1100" w:left="1680" w:header="0" w:footer="907" w:gutter="0"/>
          <w:cols w:space="720"/>
        </w:sectPr>
      </w:pPr>
    </w:p>
    <w:p w:rsidR="00D42623" w:rsidRDefault="00E9675F">
      <w:pPr>
        <w:pStyle w:val="BodyText"/>
        <w:spacing w:before="77"/>
        <w:ind w:left="1200" w:right="115"/>
        <w:jc w:val="both"/>
      </w:pPr>
      <w:r>
        <w:lastRenderedPageBreak/>
        <w:t>ability to make impartial decisions. Employees and investment officials shall disclose any material interests in financial institutions with which they conduct business. They shall further disclose any personal financial/investment positions that could be related to the performance of the investment portfolio. Employees and officers shall refrain from undertaking personal investment transactions with the same individual with which business is conducted on behalf of the MCHCP.</w:t>
      </w:r>
    </w:p>
    <w:p w:rsidR="00D42623" w:rsidRDefault="00D42623">
      <w:pPr>
        <w:pStyle w:val="BodyText"/>
        <w:spacing w:before="5"/>
        <w:rPr>
          <w:sz w:val="24"/>
        </w:rPr>
      </w:pPr>
    </w:p>
    <w:p w:rsidR="00D42623" w:rsidRDefault="00E9675F">
      <w:pPr>
        <w:pStyle w:val="ListParagraph"/>
        <w:numPr>
          <w:ilvl w:val="1"/>
          <w:numId w:val="5"/>
        </w:numPr>
        <w:tabs>
          <w:tab w:val="left" w:pos="1200"/>
        </w:tabs>
        <w:spacing w:before="1"/>
        <w:ind w:left="1200" w:right="190" w:hanging="360"/>
        <w:rPr>
          <w:rFonts w:ascii="Times New Roman"/>
          <w:sz w:val="24"/>
        </w:rPr>
      </w:pPr>
      <w:r>
        <w:rPr>
          <w:b/>
          <w:sz w:val="20"/>
        </w:rPr>
        <w:t xml:space="preserve">Delegation of Authority. </w:t>
      </w:r>
      <w:r>
        <w:rPr>
          <w:sz w:val="20"/>
        </w:rPr>
        <w:t>Authority to manage the investment program is granted to the MCHCP Executive Director and derived from Chapter 103 of the Revised Statutes of Missouri. Responsibility for the operation of the investment program is hereby delegated to the investment officer, who shall act in accordance with the established written procedures and internal controls for the operation of the investment program consistent with this investment policy. Procedures should include references to: safekeeping, delivery vs. payment, investment accounting, repurchase agreements, wire transfer agreements, and collateral/depository agreements. No person may engage in an investment transaction except as provided under the terms of this policy and the procedures jointly established by the MCHCP Executive Director and the investment officer. The investment officer shall be responsible for all transactions undertaken and shall establish a system of controls to regulate the activities of subordinate</w:t>
      </w:r>
      <w:r>
        <w:rPr>
          <w:spacing w:val="-13"/>
          <w:sz w:val="20"/>
        </w:rPr>
        <w:t xml:space="preserve"> </w:t>
      </w:r>
      <w:r>
        <w:rPr>
          <w:sz w:val="20"/>
        </w:rPr>
        <w:t>officials.</w:t>
      </w:r>
    </w:p>
    <w:p w:rsidR="00D42623" w:rsidRDefault="00D42623">
      <w:pPr>
        <w:pStyle w:val="BodyText"/>
        <w:spacing w:before="4"/>
        <w:rPr>
          <w:sz w:val="24"/>
        </w:rPr>
      </w:pPr>
    </w:p>
    <w:p w:rsidR="00D42623" w:rsidRDefault="00E9675F">
      <w:pPr>
        <w:pStyle w:val="Heading2"/>
        <w:numPr>
          <w:ilvl w:val="0"/>
          <w:numId w:val="5"/>
        </w:numPr>
        <w:tabs>
          <w:tab w:val="left" w:pos="421"/>
        </w:tabs>
        <w:ind w:left="420" w:hanging="300"/>
      </w:pPr>
      <w:r>
        <w:t>Investment</w:t>
      </w:r>
      <w:r>
        <w:rPr>
          <w:spacing w:val="-2"/>
        </w:rPr>
        <w:t xml:space="preserve"> </w:t>
      </w:r>
      <w:r>
        <w:t>Transactions</w:t>
      </w:r>
    </w:p>
    <w:p w:rsidR="00D42623" w:rsidRDefault="00D42623">
      <w:pPr>
        <w:pStyle w:val="BodyText"/>
        <w:spacing w:before="1"/>
        <w:rPr>
          <w:b/>
          <w:sz w:val="24"/>
        </w:rPr>
      </w:pPr>
    </w:p>
    <w:p w:rsidR="00D42623" w:rsidRDefault="00E9675F">
      <w:pPr>
        <w:pStyle w:val="BodyText"/>
        <w:spacing w:before="1"/>
        <w:ind w:left="120" w:right="369"/>
      </w:pPr>
      <w:r>
        <w:t>The investment officer shall hold the MCHCP’s owned securities on a fiduciary basis in an internal safekeeping system that maintains complete real-time recordkeeping of each security belonging to the MCHCP. This system shall hold the complete security description, the date received/purchased by the MCHCP, cash payments, actual location physical or book entry and other relevant information. Each security owned shall be listed/described as an asset of the MCHCP on the monthly Bank statement provided to the MCHCP. In addition, each time a security is received/purchased/delivered/sold a written confirmation shall be provided to the MCHCP.</w:t>
      </w:r>
    </w:p>
    <w:p w:rsidR="00D42623" w:rsidRDefault="00D42623">
      <w:pPr>
        <w:pStyle w:val="BodyText"/>
      </w:pPr>
    </w:p>
    <w:p w:rsidR="00D42623" w:rsidRDefault="00E9675F">
      <w:pPr>
        <w:pStyle w:val="BodyText"/>
        <w:ind w:left="120" w:right="123"/>
      </w:pPr>
      <w:r>
        <w:t>The investment officer shall hold securities in a separate account at either the Federal Reserve Bank of St Louis or the Depository Trust Company that includes only customer securities (not owned by the Bank). At all times, securities owned by the MCHCP shall be clearly identifiable as belonging to the MCHCP. The system and its records shall provide for adequate audit of recordkeeping information and shall be audited by both internal/external auditors and bank regulatory agencies on a regular basis. These securities and accounts shall be reconciled on a daily and monthly basis by electronic and manual means and reviewed by the MCHCP personnel as directed by the MCHCP Executive Director.</w:t>
      </w:r>
    </w:p>
    <w:p w:rsidR="00D42623" w:rsidRDefault="00D42623">
      <w:pPr>
        <w:pStyle w:val="BodyText"/>
        <w:spacing w:before="6"/>
        <w:rPr>
          <w:sz w:val="24"/>
        </w:rPr>
      </w:pPr>
    </w:p>
    <w:p w:rsidR="00D42623" w:rsidRDefault="00E9675F">
      <w:pPr>
        <w:pStyle w:val="Heading2"/>
        <w:numPr>
          <w:ilvl w:val="0"/>
          <w:numId w:val="5"/>
        </w:numPr>
        <w:tabs>
          <w:tab w:val="left" w:pos="365"/>
        </w:tabs>
        <w:spacing w:before="1"/>
        <w:ind w:left="364" w:hanging="244"/>
      </w:pPr>
      <w:r>
        <w:t>Suitable and Authorized</w:t>
      </w:r>
      <w:r>
        <w:rPr>
          <w:spacing w:val="-26"/>
        </w:rPr>
        <w:t xml:space="preserve"> </w:t>
      </w:r>
      <w:r>
        <w:t>Investments</w:t>
      </w:r>
    </w:p>
    <w:p w:rsidR="00D42623" w:rsidRDefault="00D42623">
      <w:pPr>
        <w:pStyle w:val="BodyText"/>
        <w:spacing w:before="2"/>
        <w:rPr>
          <w:b/>
          <w:sz w:val="24"/>
        </w:rPr>
      </w:pPr>
    </w:p>
    <w:p w:rsidR="00D42623" w:rsidRDefault="00E9675F">
      <w:pPr>
        <w:pStyle w:val="ListParagraph"/>
        <w:numPr>
          <w:ilvl w:val="1"/>
          <w:numId w:val="5"/>
        </w:numPr>
        <w:tabs>
          <w:tab w:val="left" w:pos="1201"/>
        </w:tabs>
        <w:ind w:right="116" w:hanging="359"/>
        <w:jc w:val="both"/>
        <w:rPr>
          <w:sz w:val="20"/>
        </w:rPr>
      </w:pPr>
      <w:r>
        <w:rPr>
          <w:b/>
          <w:sz w:val="20"/>
        </w:rPr>
        <w:t xml:space="preserve">Investment Types. </w:t>
      </w:r>
      <w:r>
        <w:rPr>
          <w:sz w:val="20"/>
        </w:rPr>
        <w:t xml:space="preserve">In accordance with and subject to restrictions </w:t>
      </w:r>
      <w:r w:rsidR="006751C4">
        <w:rPr>
          <w:sz w:val="20"/>
        </w:rPr>
        <w:t>imposed by</w:t>
      </w:r>
      <w:r>
        <w:rPr>
          <w:sz w:val="20"/>
        </w:rPr>
        <w:t xml:space="preserve"> current statutes, the following list represents the entire range of investments that the MCHCP will consider and which shall be authorized for the investments of funds by the MCHCP. The MCHCP may directly invest</w:t>
      </w:r>
      <w:r>
        <w:rPr>
          <w:spacing w:val="-12"/>
          <w:sz w:val="20"/>
        </w:rPr>
        <w:t xml:space="preserve"> </w:t>
      </w:r>
      <w:r>
        <w:rPr>
          <w:sz w:val="20"/>
        </w:rPr>
        <w:t>in:</w:t>
      </w:r>
    </w:p>
    <w:p w:rsidR="00D42623" w:rsidRDefault="00D42623">
      <w:pPr>
        <w:pStyle w:val="BodyText"/>
      </w:pPr>
    </w:p>
    <w:p w:rsidR="00D42623" w:rsidRDefault="00E9675F">
      <w:pPr>
        <w:pStyle w:val="ListParagraph"/>
        <w:numPr>
          <w:ilvl w:val="2"/>
          <w:numId w:val="5"/>
        </w:numPr>
        <w:tabs>
          <w:tab w:val="left" w:pos="1561"/>
        </w:tabs>
        <w:ind w:right="118" w:hanging="359"/>
        <w:jc w:val="both"/>
        <w:rPr>
          <w:sz w:val="20"/>
        </w:rPr>
      </w:pPr>
      <w:r>
        <w:rPr>
          <w:sz w:val="20"/>
          <w:u w:val="single"/>
        </w:rPr>
        <w:t>United States Treasury Securities</w:t>
      </w:r>
      <w:r>
        <w:rPr>
          <w:sz w:val="20"/>
        </w:rPr>
        <w:t>. The MCHCP may invest in obligations of the United States government for which the full faith and credit of the United States are pledged for the payment of principal and</w:t>
      </w:r>
      <w:r>
        <w:rPr>
          <w:spacing w:val="-9"/>
          <w:sz w:val="20"/>
        </w:rPr>
        <w:t xml:space="preserve"> </w:t>
      </w:r>
      <w:r>
        <w:rPr>
          <w:sz w:val="20"/>
        </w:rPr>
        <w:t>interest.</w:t>
      </w:r>
    </w:p>
    <w:p w:rsidR="00D42623" w:rsidRDefault="00D42623">
      <w:pPr>
        <w:pStyle w:val="BodyText"/>
      </w:pPr>
    </w:p>
    <w:p w:rsidR="00D42623" w:rsidRDefault="00E9675F">
      <w:pPr>
        <w:pStyle w:val="ListParagraph"/>
        <w:numPr>
          <w:ilvl w:val="2"/>
          <w:numId w:val="5"/>
        </w:numPr>
        <w:tabs>
          <w:tab w:val="left" w:pos="1560"/>
        </w:tabs>
        <w:ind w:right="117" w:hanging="359"/>
        <w:jc w:val="both"/>
        <w:rPr>
          <w:sz w:val="20"/>
        </w:rPr>
      </w:pPr>
      <w:r>
        <w:rPr>
          <w:sz w:val="20"/>
          <w:u w:val="single"/>
        </w:rPr>
        <w:t>United States Agency Securities</w:t>
      </w:r>
      <w:r>
        <w:rPr>
          <w:sz w:val="20"/>
        </w:rPr>
        <w:t xml:space="preserve">. The MCHCP may invest in obligations </w:t>
      </w:r>
      <w:r w:rsidR="006751C4">
        <w:rPr>
          <w:sz w:val="20"/>
        </w:rPr>
        <w:t>issued or</w:t>
      </w:r>
      <w:r>
        <w:rPr>
          <w:sz w:val="20"/>
        </w:rPr>
        <w:t xml:space="preserve"> guaranteed by any agency of the United States Government as described in V.2.</w:t>
      </w:r>
    </w:p>
    <w:p w:rsidR="00D42623" w:rsidRDefault="00D42623">
      <w:pPr>
        <w:jc w:val="both"/>
        <w:rPr>
          <w:sz w:val="20"/>
        </w:rPr>
        <w:sectPr w:rsidR="00D42623">
          <w:pgSz w:w="12240" w:h="15840"/>
          <w:pgMar w:top="1360" w:right="1680" w:bottom="1100" w:left="1680" w:header="0" w:footer="907" w:gutter="0"/>
          <w:cols w:space="720"/>
        </w:sectPr>
      </w:pPr>
    </w:p>
    <w:p w:rsidR="00D42623" w:rsidRDefault="00E9675F">
      <w:pPr>
        <w:pStyle w:val="ListParagraph"/>
        <w:numPr>
          <w:ilvl w:val="2"/>
          <w:numId w:val="5"/>
        </w:numPr>
        <w:tabs>
          <w:tab w:val="left" w:pos="1561"/>
        </w:tabs>
        <w:spacing w:before="167"/>
        <w:ind w:right="114" w:hanging="360"/>
        <w:jc w:val="both"/>
        <w:rPr>
          <w:sz w:val="20"/>
        </w:rPr>
      </w:pPr>
      <w:r>
        <w:rPr>
          <w:sz w:val="20"/>
          <w:u w:val="single"/>
        </w:rPr>
        <w:lastRenderedPageBreak/>
        <w:t>Repurchase Agreements</w:t>
      </w:r>
      <w:r>
        <w:rPr>
          <w:sz w:val="20"/>
        </w:rPr>
        <w:t>. The MCHCP may invest in contractual agreements between the MCHCP and commercial banks or primary government securities dealers. The purchaser in a repurchase agreement (repo) enters into a contractual agreement to purchase U.S. Treasury and government agency securities while simultaneously agreeing to resell the securities at predetermined dates and</w:t>
      </w:r>
      <w:r>
        <w:rPr>
          <w:spacing w:val="-3"/>
          <w:sz w:val="20"/>
        </w:rPr>
        <w:t xml:space="preserve"> </w:t>
      </w:r>
      <w:r>
        <w:rPr>
          <w:sz w:val="20"/>
        </w:rPr>
        <w:t>prices.</w:t>
      </w:r>
    </w:p>
    <w:p w:rsidR="00D42623" w:rsidRDefault="00D42623">
      <w:pPr>
        <w:pStyle w:val="BodyText"/>
      </w:pPr>
    </w:p>
    <w:p w:rsidR="00D42623" w:rsidRDefault="00E9675F">
      <w:pPr>
        <w:pStyle w:val="ListParagraph"/>
        <w:numPr>
          <w:ilvl w:val="2"/>
          <w:numId w:val="5"/>
        </w:numPr>
        <w:tabs>
          <w:tab w:val="left" w:pos="1560"/>
        </w:tabs>
        <w:ind w:right="116" w:hanging="360"/>
        <w:jc w:val="both"/>
        <w:rPr>
          <w:sz w:val="20"/>
        </w:rPr>
      </w:pPr>
      <w:r>
        <w:rPr>
          <w:sz w:val="20"/>
          <w:u w:val="single"/>
        </w:rPr>
        <w:t>Collateralized Public Deposits (certificates of deposit)</w:t>
      </w:r>
      <w:r>
        <w:rPr>
          <w:sz w:val="20"/>
        </w:rPr>
        <w:t>. Instruments issued by financial institutions, which state that specified sums have been deposited for specified periods of time, and at specified rates of interest. The certificates of deposit are required to be backed by acceptable collateral securities as dictated by State</w:t>
      </w:r>
      <w:r>
        <w:rPr>
          <w:spacing w:val="-3"/>
          <w:sz w:val="20"/>
        </w:rPr>
        <w:t xml:space="preserve"> </w:t>
      </w:r>
      <w:r>
        <w:rPr>
          <w:sz w:val="20"/>
        </w:rPr>
        <w:t>statute.</w:t>
      </w:r>
    </w:p>
    <w:p w:rsidR="00D42623" w:rsidRDefault="00D42623">
      <w:pPr>
        <w:pStyle w:val="BodyText"/>
      </w:pPr>
    </w:p>
    <w:p w:rsidR="00D42623" w:rsidRDefault="00E9675F">
      <w:pPr>
        <w:pStyle w:val="ListParagraph"/>
        <w:numPr>
          <w:ilvl w:val="2"/>
          <w:numId w:val="5"/>
        </w:numPr>
        <w:tabs>
          <w:tab w:val="left" w:pos="1560"/>
        </w:tabs>
        <w:ind w:right="116" w:hanging="360"/>
        <w:jc w:val="both"/>
        <w:rPr>
          <w:sz w:val="20"/>
        </w:rPr>
      </w:pPr>
      <w:r>
        <w:rPr>
          <w:sz w:val="20"/>
          <w:u w:val="single"/>
        </w:rPr>
        <w:t>Bankers’ Acceptances</w:t>
      </w:r>
      <w:r>
        <w:rPr>
          <w:sz w:val="20"/>
        </w:rPr>
        <w:t>. Time drafts drawn on and accepted by a commercial bank, otherwise known as bankers’ acceptances. The MCHCP may invest in bankers’ acceptances issued by domestic commercial banks possessing the highest rating issued by Moody’s Investor Services, Inc. or Standard and Poor’s Corporation.</w:t>
      </w:r>
    </w:p>
    <w:p w:rsidR="00D42623" w:rsidRDefault="00D42623">
      <w:pPr>
        <w:pStyle w:val="BodyText"/>
      </w:pPr>
    </w:p>
    <w:p w:rsidR="00D42623" w:rsidRDefault="00E9675F">
      <w:pPr>
        <w:pStyle w:val="ListParagraph"/>
        <w:numPr>
          <w:ilvl w:val="2"/>
          <w:numId w:val="5"/>
        </w:numPr>
        <w:tabs>
          <w:tab w:val="left" w:pos="1560"/>
        </w:tabs>
        <w:ind w:left="1560" w:right="117"/>
        <w:jc w:val="both"/>
        <w:rPr>
          <w:sz w:val="20"/>
        </w:rPr>
      </w:pPr>
      <w:r>
        <w:rPr>
          <w:sz w:val="20"/>
          <w:u w:val="single"/>
        </w:rPr>
        <w:t>Commercial Paper</w:t>
      </w:r>
      <w:r>
        <w:rPr>
          <w:sz w:val="20"/>
        </w:rPr>
        <w:t>. The MCHCP may invest in commercial paper issued by domestic corporations, which has received the highest rating issued by Moody’s Investor Services, Inc. or Standard and Poor’s Corporation. Eligible paper is further limited to issuing corporations that have total commercial paper program size in excess of five hundred million dollars</w:t>
      </w:r>
      <w:r>
        <w:rPr>
          <w:spacing w:val="-10"/>
          <w:sz w:val="20"/>
        </w:rPr>
        <w:t xml:space="preserve"> </w:t>
      </w:r>
      <w:r>
        <w:rPr>
          <w:sz w:val="20"/>
        </w:rPr>
        <w:t>($500,000,000).</w:t>
      </w:r>
    </w:p>
    <w:p w:rsidR="00D42623" w:rsidRDefault="00D42623">
      <w:pPr>
        <w:pStyle w:val="BodyText"/>
      </w:pPr>
    </w:p>
    <w:p w:rsidR="00D42623" w:rsidRDefault="00E9675F">
      <w:pPr>
        <w:pStyle w:val="ListParagraph"/>
        <w:numPr>
          <w:ilvl w:val="1"/>
          <w:numId w:val="5"/>
        </w:numPr>
        <w:tabs>
          <w:tab w:val="left" w:pos="1201"/>
        </w:tabs>
        <w:ind w:right="117" w:hanging="360"/>
        <w:jc w:val="both"/>
        <w:rPr>
          <w:sz w:val="20"/>
        </w:rPr>
      </w:pPr>
      <w:r>
        <w:rPr>
          <w:b/>
          <w:sz w:val="20"/>
        </w:rPr>
        <w:t xml:space="preserve">Security Selection. </w:t>
      </w:r>
      <w:r>
        <w:rPr>
          <w:sz w:val="20"/>
        </w:rPr>
        <w:t>The following list represents the entire range of United States Agency Securities that the MCHCP will consider and which shall be authorized for the investment of funds by the MCHCP. Additionally, the following definitions and guidelines should be used in purchasing the</w:t>
      </w:r>
      <w:r>
        <w:rPr>
          <w:spacing w:val="-10"/>
          <w:sz w:val="20"/>
        </w:rPr>
        <w:t xml:space="preserve"> </w:t>
      </w:r>
      <w:r>
        <w:rPr>
          <w:sz w:val="20"/>
        </w:rPr>
        <w:t>instruments:</w:t>
      </w:r>
    </w:p>
    <w:p w:rsidR="00D42623" w:rsidRDefault="00D42623">
      <w:pPr>
        <w:pStyle w:val="BodyText"/>
      </w:pPr>
    </w:p>
    <w:p w:rsidR="00D42623" w:rsidRDefault="00E9675F">
      <w:pPr>
        <w:pStyle w:val="ListParagraph"/>
        <w:numPr>
          <w:ilvl w:val="2"/>
          <w:numId w:val="5"/>
        </w:numPr>
        <w:tabs>
          <w:tab w:val="left" w:pos="1560"/>
        </w:tabs>
        <w:ind w:right="118" w:hanging="360"/>
        <w:jc w:val="both"/>
        <w:rPr>
          <w:sz w:val="20"/>
        </w:rPr>
      </w:pPr>
      <w:r>
        <w:rPr>
          <w:sz w:val="20"/>
          <w:u w:val="single"/>
        </w:rPr>
        <w:t>U.S. Govt. Agency Coupon and Zero Coupon Securities</w:t>
      </w:r>
      <w:r>
        <w:rPr>
          <w:sz w:val="20"/>
        </w:rPr>
        <w:t>. Bullet coupon bonds with no embedded</w:t>
      </w:r>
      <w:r>
        <w:rPr>
          <w:spacing w:val="-3"/>
          <w:sz w:val="20"/>
        </w:rPr>
        <w:t xml:space="preserve"> </w:t>
      </w:r>
      <w:r>
        <w:rPr>
          <w:sz w:val="20"/>
        </w:rPr>
        <w:t>options.</w:t>
      </w:r>
    </w:p>
    <w:p w:rsidR="00D42623" w:rsidRDefault="00D42623">
      <w:pPr>
        <w:pStyle w:val="BodyText"/>
      </w:pPr>
    </w:p>
    <w:p w:rsidR="00D42623" w:rsidRDefault="00E9675F">
      <w:pPr>
        <w:pStyle w:val="ListParagraph"/>
        <w:numPr>
          <w:ilvl w:val="2"/>
          <w:numId w:val="5"/>
        </w:numPr>
        <w:tabs>
          <w:tab w:val="left" w:pos="1560"/>
        </w:tabs>
        <w:ind w:right="117" w:hanging="360"/>
        <w:jc w:val="both"/>
        <w:rPr>
          <w:sz w:val="20"/>
        </w:rPr>
      </w:pPr>
      <w:r>
        <w:rPr>
          <w:sz w:val="20"/>
          <w:u w:val="single"/>
        </w:rPr>
        <w:t>U.S. Govt. Agency Discount Notes</w:t>
      </w:r>
      <w:r>
        <w:rPr>
          <w:sz w:val="20"/>
        </w:rPr>
        <w:t>. Purchased at a discount with maximum maturities of one (1)</w:t>
      </w:r>
      <w:r>
        <w:rPr>
          <w:spacing w:val="-3"/>
          <w:sz w:val="20"/>
        </w:rPr>
        <w:t xml:space="preserve"> </w:t>
      </w:r>
      <w:r>
        <w:rPr>
          <w:sz w:val="20"/>
        </w:rPr>
        <w:t>year.</w:t>
      </w:r>
    </w:p>
    <w:p w:rsidR="00D42623" w:rsidRDefault="00D42623">
      <w:pPr>
        <w:pStyle w:val="BodyText"/>
      </w:pPr>
    </w:p>
    <w:p w:rsidR="00D42623" w:rsidRDefault="00E9675F">
      <w:pPr>
        <w:pStyle w:val="ListParagraph"/>
        <w:numPr>
          <w:ilvl w:val="2"/>
          <w:numId w:val="5"/>
        </w:numPr>
        <w:tabs>
          <w:tab w:val="left" w:pos="1560"/>
        </w:tabs>
        <w:ind w:left="1560" w:right="116"/>
        <w:jc w:val="both"/>
        <w:rPr>
          <w:sz w:val="20"/>
        </w:rPr>
      </w:pPr>
      <w:r>
        <w:rPr>
          <w:sz w:val="20"/>
          <w:u w:val="single"/>
        </w:rPr>
        <w:t>U.S. Govt. Agency Callable Securities</w:t>
      </w:r>
      <w:r>
        <w:rPr>
          <w:sz w:val="20"/>
        </w:rPr>
        <w:t>. Restricted to securities callable at par only with final maturities of five (5)</w:t>
      </w:r>
      <w:r>
        <w:rPr>
          <w:spacing w:val="-10"/>
          <w:sz w:val="20"/>
        </w:rPr>
        <w:t xml:space="preserve"> </w:t>
      </w:r>
      <w:r>
        <w:rPr>
          <w:sz w:val="20"/>
        </w:rPr>
        <w:t>years.</w:t>
      </w:r>
    </w:p>
    <w:p w:rsidR="00D42623" w:rsidRDefault="00D42623">
      <w:pPr>
        <w:pStyle w:val="BodyText"/>
      </w:pPr>
    </w:p>
    <w:p w:rsidR="00D42623" w:rsidRDefault="00E9675F">
      <w:pPr>
        <w:pStyle w:val="ListParagraph"/>
        <w:numPr>
          <w:ilvl w:val="2"/>
          <w:numId w:val="5"/>
        </w:numPr>
        <w:tabs>
          <w:tab w:val="left" w:pos="1560"/>
        </w:tabs>
        <w:ind w:left="1560" w:right="118"/>
        <w:jc w:val="both"/>
        <w:rPr>
          <w:sz w:val="20"/>
        </w:rPr>
      </w:pPr>
      <w:r>
        <w:rPr>
          <w:sz w:val="20"/>
          <w:u w:val="single"/>
        </w:rPr>
        <w:t>U.S. Govt. Agency Step-Up Securities</w:t>
      </w:r>
      <w:r>
        <w:rPr>
          <w:sz w:val="20"/>
        </w:rPr>
        <w:t>. The coupon rate is fixed for an initial term. At coupon date, the coupon rate rises to a new, higher fixed term. Restricted to securities with final maturities of five (5)</w:t>
      </w:r>
      <w:r>
        <w:rPr>
          <w:spacing w:val="-15"/>
          <w:sz w:val="20"/>
        </w:rPr>
        <w:t xml:space="preserve"> </w:t>
      </w:r>
      <w:r>
        <w:rPr>
          <w:sz w:val="20"/>
        </w:rPr>
        <w:t>years.</w:t>
      </w:r>
    </w:p>
    <w:p w:rsidR="00D42623" w:rsidRDefault="00D42623">
      <w:pPr>
        <w:pStyle w:val="BodyText"/>
      </w:pPr>
    </w:p>
    <w:p w:rsidR="00D42623" w:rsidRDefault="00E9675F">
      <w:pPr>
        <w:pStyle w:val="ListParagraph"/>
        <w:numPr>
          <w:ilvl w:val="2"/>
          <w:numId w:val="5"/>
        </w:numPr>
        <w:tabs>
          <w:tab w:val="left" w:pos="1560"/>
        </w:tabs>
        <w:spacing w:before="1"/>
        <w:ind w:right="117" w:hanging="360"/>
        <w:jc w:val="both"/>
        <w:rPr>
          <w:sz w:val="20"/>
        </w:rPr>
      </w:pPr>
      <w:r>
        <w:rPr>
          <w:sz w:val="20"/>
          <w:u w:val="single"/>
        </w:rPr>
        <w:t>U.S. Govt. Agency Floating Rate Securities</w:t>
      </w:r>
      <w:r>
        <w:rPr>
          <w:sz w:val="20"/>
        </w:rPr>
        <w:t xml:space="preserve">. The coupon rate floats off of one index that reset at least quarterly. Restricted to coupons with no interim </w:t>
      </w:r>
      <w:r w:rsidR="006751C4">
        <w:rPr>
          <w:sz w:val="20"/>
        </w:rPr>
        <w:t>caps that</w:t>
      </w:r>
      <w:r>
        <w:rPr>
          <w:sz w:val="20"/>
        </w:rPr>
        <w:t xml:space="preserve"> reset at least</w:t>
      </w:r>
      <w:r>
        <w:rPr>
          <w:spacing w:val="-5"/>
          <w:sz w:val="20"/>
        </w:rPr>
        <w:t xml:space="preserve"> </w:t>
      </w:r>
      <w:r>
        <w:rPr>
          <w:sz w:val="20"/>
        </w:rPr>
        <w:t>quarterly.</w:t>
      </w:r>
    </w:p>
    <w:p w:rsidR="00D42623" w:rsidRDefault="00D42623">
      <w:pPr>
        <w:pStyle w:val="BodyText"/>
        <w:spacing w:before="10"/>
        <w:rPr>
          <w:sz w:val="19"/>
        </w:rPr>
      </w:pPr>
    </w:p>
    <w:p w:rsidR="00D42623" w:rsidRDefault="00E9675F">
      <w:pPr>
        <w:pStyle w:val="ListParagraph"/>
        <w:numPr>
          <w:ilvl w:val="2"/>
          <w:numId w:val="5"/>
        </w:numPr>
        <w:tabs>
          <w:tab w:val="left" w:pos="1560"/>
        </w:tabs>
        <w:ind w:left="1560" w:right="118"/>
        <w:jc w:val="both"/>
        <w:rPr>
          <w:sz w:val="20"/>
        </w:rPr>
      </w:pPr>
      <w:r>
        <w:rPr>
          <w:sz w:val="20"/>
          <w:u w:val="single"/>
        </w:rPr>
        <w:t>U.S. Govt. Mortgage Backed Securities</w:t>
      </w:r>
      <w:r>
        <w:rPr>
          <w:sz w:val="20"/>
        </w:rPr>
        <w:t>. Restricted to securities with final maturity of no greater than five (5)</w:t>
      </w:r>
      <w:r>
        <w:rPr>
          <w:spacing w:val="-10"/>
          <w:sz w:val="20"/>
        </w:rPr>
        <w:t xml:space="preserve"> </w:t>
      </w:r>
      <w:r>
        <w:rPr>
          <w:sz w:val="20"/>
        </w:rPr>
        <w:t>years.</w:t>
      </w:r>
    </w:p>
    <w:p w:rsidR="00D42623" w:rsidRDefault="00D42623">
      <w:pPr>
        <w:pStyle w:val="BodyText"/>
      </w:pPr>
    </w:p>
    <w:p w:rsidR="00D42623" w:rsidRDefault="00E9675F">
      <w:pPr>
        <w:pStyle w:val="ListParagraph"/>
        <w:numPr>
          <w:ilvl w:val="1"/>
          <w:numId w:val="5"/>
        </w:numPr>
        <w:tabs>
          <w:tab w:val="left" w:pos="1201"/>
        </w:tabs>
        <w:ind w:right="116" w:hanging="359"/>
        <w:jc w:val="both"/>
        <w:rPr>
          <w:sz w:val="20"/>
        </w:rPr>
      </w:pPr>
      <w:r>
        <w:rPr>
          <w:b/>
          <w:sz w:val="20"/>
        </w:rPr>
        <w:t xml:space="preserve">Investment Restrictions and Prohibited Transactions. </w:t>
      </w:r>
      <w:r>
        <w:rPr>
          <w:sz w:val="20"/>
        </w:rPr>
        <w:t>To provide for the safety and liquidity of the MCHCP’s funds, the investment portfolio will be subject to the following</w:t>
      </w:r>
      <w:r>
        <w:rPr>
          <w:spacing w:val="-2"/>
          <w:sz w:val="20"/>
        </w:rPr>
        <w:t xml:space="preserve"> </w:t>
      </w:r>
      <w:r>
        <w:rPr>
          <w:sz w:val="20"/>
        </w:rPr>
        <w:t>restrictions:</w:t>
      </w:r>
    </w:p>
    <w:p w:rsidR="00D42623" w:rsidRDefault="00D42623">
      <w:pPr>
        <w:pStyle w:val="BodyText"/>
        <w:spacing w:before="1"/>
      </w:pPr>
    </w:p>
    <w:p w:rsidR="00D42623" w:rsidRDefault="00E9675F">
      <w:pPr>
        <w:pStyle w:val="ListParagraph"/>
        <w:numPr>
          <w:ilvl w:val="2"/>
          <w:numId w:val="5"/>
        </w:numPr>
        <w:tabs>
          <w:tab w:val="left" w:pos="1561"/>
        </w:tabs>
        <w:ind w:hanging="360"/>
        <w:rPr>
          <w:sz w:val="20"/>
        </w:rPr>
      </w:pPr>
      <w:r>
        <w:rPr>
          <w:sz w:val="20"/>
        </w:rPr>
        <w:t>Borrowing for investment purposes (“Leverage”) is</w:t>
      </w:r>
      <w:r>
        <w:rPr>
          <w:spacing w:val="-12"/>
          <w:sz w:val="20"/>
        </w:rPr>
        <w:t xml:space="preserve"> </w:t>
      </w:r>
      <w:r>
        <w:rPr>
          <w:sz w:val="20"/>
        </w:rPr>
        <w:t>prohibited.</w:t>
      </w:r>
    </w:p>
    <w:p w:rsidR="00D42623" w:rsidRDefault="00D42623">
      <w:pPr>
        <w:rPr>
          <w:sz w:val="20"/>
        </w:rPr>
        <w:sectPr w:rsidR="00D42623">
          <w:pgSz w:w="12240" w:h="15840"/>
          <w:pgMar w:top="1500" w:right="1680" w:bottom="1100" w:left="1680" w:header="0" w:footer="907" w:gutter="0"/>
          <w:cols w:space="720"/>
        </w:sectPr>
      </w:pPr>
    </w:p>
    <w:p w:rsidR="00D42623" w:rsidRDefault="00E9675F">
      <w:pPr>
        <w:pStyle w:val="ListParagraph"/>
        <w:numPr>
          <w:ilvl w:val="2"/>
          <w:numId w:val="5"/>
        </w:numPr>
        <w:tabs>
          <w:tab w:val="left" w:pos="1561"/>
        </w:tabs>
        <w:spacing w:before="167"/>
        <w:ind w:right="118" w:hanging="359"/>
        <w:jc w:val="both"/>
        <w:rPr>
          <w:sz w:val="20"/>
        </w:rPr>
      </w:pPr>
      <w:r>
        <w:rPr>
          <w:sz w:val="20"/>
        </w:rPr>
        <w:lastRenderedPageBreak/>
        <w:t>Instruments known as Structured Notes (e.g. inverse floaters, leveraged floaters, and equity-linked securities) are not permitted. Investment in any instrument, which is commonly considered a “derivative” instrument (e.g. options, futures, swaps, caps, floors, and collars), is</w:t>
      </w:r>
      <w:r>
        <w:rPr>
          <w:spacing w:val="-7"/>
          <w:sz w:val="20"/>
        </w:rPr>
        <w:t xml:space="preserve"> </w:t>
      </w:r>
      <w:r>
        <w:rPr>
          <w:sz w:val="20"/>
        </w:rPr>
        <w:t>prohibited.</w:t>
      </w:r>
    </w:p>
    <w:p w:rsidR="00D42623" w:rsidRDefault="00D42623">
      <w:pPr>
        <w:pStyle w:val="BodyText"/>
      </w:pPr>
    </w:p>
    <w:p w:rsidR="00D42623" w:rsidRDefault="00E9675F">
      <w:pPr>
        <w:pStyle w:val="ListParagraph"/>
        <w:numPr>
          <w:ilvl w:val="2"/>
          <w:numId w:val="5"/>
        </w:numPr>
        <w:tabs>
          <w:tab w:val="left" w:pos="1560"/>
        </w:tabs>
        <w:ind w:right="117" w:hanging="360"/>
        <w:jc w:val="both"/>
        <w:rPr>
          <w:sz w:val="20"/>
        </w:rPr>
      </w:pPr>
      <w:r>
        <w:rPr>
          <w:sz w:val="20"/>
        </w:rPr>
        <w:t>Contracting to sell securities not yet acquired in order to purchase other securities for purposes of speculating on developments or trends in the market is prohibited.</w:t>
      </w:r>
    </w:p>
    <w:p w:rsidR="00D42623" w:rsidRDefault="00D42623">
      <w:pPr>
        <w:pStyle w:val="BodyText"/>
        <w:spacing w:before="1"/>
      </w:pPr>
    </w:p>
    <w:p w:rsidR="00D42623" w:rsidRDefault="00E9675F">
      <w:pPr>
        <w:pStyle w:val="ListParagraph"/>
        <w:numPr>
          <w:ilvl w:val="2"/>
          <w:numId w:val="5"/>
        </w:numPr>
        <w:tabs>
          <w:tab w:val="left" w:pos="1561"/>
        </w:tabs>
        <w:ind w:right="116" w:hanging="360"/>
        <w:jc w:val="both"/>
        <w:rPr>
          <w:sz w:val="20"/>
        </w:rPr>
      </w:pPr>
      <w:r>
        <w:rPr>
          <w:sz w:val="20"/>
        </w:rPr>
        <w:t>No more than 5% of the total market value of the portfolio may be invested in bankers’ acceptances issued by any one commercial bank and no more than 5% of the total market value of the portfolio may be invested in commercial paper of any one</w:t>
      </w:r>
      <w:r>
        <w:rPr>
          <w:spacing w:val="-2"/>
          <w:sz w:val="20"/>
        </w:rPr>
        <w:t xml:space="preserve"> </w:t>
      </w:r>
      <w:r>
        <w:rPr>
          <w:sz w:val="20"/>
        </w:rPr>
        <w:t>issuer.</w:t>
      </w:r>
    </w:p>
    <w:p w:rsidR="00D42623" w:rsidRDefault="00D42623">
      <w:pPr>
        <w:pStyle w:val="BodyText"/>
      </w:pPr>
    </w:p>
    <w:p w:rsidR="00D42623" w:rsidRDefault="00E9675F">
      <w:pPr>
        <w:pStyle w:val="ListParagraph"/>
        <w:numPr>
          <w:ilvl w:val="1"/>
          <w:numId w:val="5"/>
        </w:numPr>
        <w:tabs>
          <w:tab w:val="left" w:pos="1200"/>
        </w:tabs>
        <w:ind w:right="115" w:hanging="360"/>
        <w:jc w:val="both"/>
        <w:rPr>
          <w:sz w:val="20"/>
        </w:rPr>
      </w:pPr>
      <w:r>
        <w:rPr>
          <w:b/>
          <w:sz w:val="20"/>
        </w:rPr>
        <w:t>Collateralization</w:t>
      </w:r>
      <w:r>
        <w:rPr>
          <w:b/>
          <w:color w:val="FF0000"/>
          <w:sz w:val="20"/>
        </w:rPr>
        <w:t xml:space="preserve">. </w:t>
      </w:r>
      <w:r>
        <w:rPr>
          <w:sz w:val="20"/>
        </w:rPr>
        <w:t>Collateralization will be required on two types of investments: certificates of deposit and repurchase agreements. The market value (including accrued interest) of the collateral should be at least</w:t>
      </w:r>
      <w:r>
        <w:rPr>
          <w:spacing w:val="-17"/>
          <w:sz w:val="20"/>
        </w:rPr>
        <w:t xml:space="preserve"> </w:t>
      </w:r>
      <w:r>
        <w:rPr>
          <w:sz w:val="20"/>
        </w:rPr>
        <w:t>100%.</w:t>
      </w:r>
    </w:p>
    <w:p w:rsidR="00D42623" w:rsidRDefault="00D42623">
      <w:pPr>
        <w:pStyle w:val="BodyText"/>
        <w:spacing w:before="11"/>
        <w:rPr>
          <w:sz w:val="19"/>
        </w:rPr>
      </w:pPr>
    </w:p>
    <w:p w:rsidR="00D42623" w:rsidRDefault="00E9675F">
      <w:pPr>
        <w:pStyle w:val="BodyText"/>
        <w:ind w:left="1199" w:right="117"/>
        <w:jc w:val="both"/>
      </w:pPr>
      <w:r>
        <w:t>For certificates of deposit, the market value of collateral must be at least 100% or greater of the amount of certificates of deposits plus demand deposits with the depository, less the amount, if any, which is insured by the Federal Deposit Insurance Corporation, or the National Credit Unions Share Insurance</w:t>
      </w:r>
      <w:r>
        <w:rPr>
          <w:spacing w:val="-27"/>
        </w:rPr>
        <w:t xml:space="preserve"> </w:t>
      </w:r>
      <w:r>
        <w:t>Fund.</w:t>
      </w:r>
    </w:p>
    <w:p w:rsidR="00D42623" w:rsidRDefault="00E9675F">
      <w:pPr>
        <w:pStyle w:val="BodyText"/>
        <w:spacing w:before="121"/>
        <w:ind w:left="1199" w:right="116"/>
        <w:jc w:val="both"/>
      </w:pPr>
      <w:r>
        <w:t>All securities, which serve as collateral against the deposits of a depository institution, must be safekept at a non-affiliated custodial facility. Depository institutions pledging collateral against deposits must, in conjunction with the custodial agent, furnish the necessary custodial receipts within five business days from the settlement</w:t>
      </w:r>
      <w:r>
        <w:rPr>
          <w:spacing w:val="-2"/>
        </w:rPr>
        <w:t xml:space="preserve"> </w:t>
      </w:r>
      <w:r>
        <w:t>date.</w:t>
      </w:r>
    </w:p>
    <w:p w:rsidR="00D42623" w:rsidRDefault="00E9675F">
      <w:pPr>
        <w:pStyle w:val="BodyText"/>
        <w:spacing w:before="119"/>
        <w:ind w:left="1199" w:right="117"/>
        <w:jc w:val="both"/>
      </w:pPr>
      <w:r>
        <w:t xml:space="preserve">The MCHCP shall have a </w:t>
      </w:r>
      <w:r>
        <w:rPr>
          <w:i/>
        </w:rPr>
        <w:t xml:space="preserve">depositary contract and pledge agreement </w:t>
      </w:r>
      <w:r>
        <w:t>with each safekeeping bank that will comply with the Financial Institutions, Reform, Recovery, and Enforcement Act of 1989 (FIRREA). This will ensure that the MCHCP’s security interest in collateral pledged to secure deposits is enforceable against the receiver of a failed financial institution.</w:t>
      </w:r>
    </w:p>
    <w:p w:rsidR="00D42623" w:rsidRDefault="00E9675F">
      <w:pPr>
        <w:pStyle w:val="ListParagraph"/>
        <w:numPr>
          <w:ilvl w:val="1"/>
          <w:numId w:val="5"/>
        </w:numPr>
        <w:tabs>
          <w:tab w:val="left" w:pos="1200"/>
        </w:tabs>
        <w:spacing w:before="120"/>
        <w:ind w:right="117" w:hanging="360"/>
        <w:jc w:val="both"/>
        <w:rPr>
          <w:sz w:val="20"/>
        </w:rPr>
      </w:pPr>
      <w:r>
        <w:rPr>
          <w:b/>
          <w:sz w:val="20"/>
        </w:rPr>
        <w:t xml:space="preserve">Repurchase Agreements. </w:t>
      </w:r>
      <w:r>
        <w:rPr>
          <w:sz w:val="20"/>
        </w:rPr>
        <w:t>The securities for which repurchase agreements will be transacted will be limited to U.S. Treasury and government agency securities that are eligible to be delivered via the Federal Reserve's Fedwire book entry system. Securities will be delivered to the MCHCP’s designated Custodial Agent. Funds and securities will be transferred on a delivery vs. payment</w:t>
      </w:r>
      <w:r>
        <w:rPr>
          <w:spacing w:val="-17"/>
          <w:sz w:val="20"/>
        </w:rPr>
        <w:t xml:space="preserve"> </w:t>
      </w:r>
      <w:r>
        <w:rPr>
          <w:sz w:val="20"/>
        </w:rPr>
        <w:t>basis.</w:t>
      </w:r>
    </w:p>
    <w:p w:rsidR="00D42623" w:rsidRDefault="00D42623">
      <w:pPr>
        <w:pStyle w:val="BodyText"/>
        <w:spacing w:before="7"/>
        <w:rPr>
          <w:sz w:val="24"/>
        </w:rPr>
      </w:pPr>
    </w:p>
    <w:p w:rsidR="00D42623" w:rsidRDefault="00E9675F">
      <w:pPr>
        <w:pStyle w:val="Heading2"/>
        <w:numPr>
          <w:ilvl w:val="0"/>
          <w:numId w:val="5"/>
        </w:numPr>
        <w:tabs>
          <w:tab w:val="left" w:pos="420"/>
        </w:tabs>
        <w:ind w:left="419" w:hanging="300"/>
      </w:pPr>
      <w:r>
        <w:t>Investment</w:t>
      </w:r>
      <w:r>
        <w:rPr>
          <w:spacing w:val="-2"/>
        </w:rPr>
        <w:t xml:space="preserve"> </w:t>
      </w:r>
      <w:r>
        <w:t>Parameters</w:t>
      </w:r>
    </w:p>
    <w:p w:rsidR="00D42623" w:rsidRDefault="00D42623">
      <w:pPr>
        <w:pStyle w:val="BodyText"/>
        <w:spacing w:before="2"/>
        <w:rPr>
          <w:b/>
          <w:sz w:val="24"/>
        </w:rPr>
      </w:pPr>
    </w:p>
    <w:p w:rsidR="00D42623" w:rsidRDefault="00E9675F">
      <w:pPr>
        <w:pStyle w:val="ListParagraph"/>
        <w:numPr>
          <w:ilvl w:val="1"/>
          <w:numId w:val="5"/>
        </w:numPr>
        <w:tabs>
          <w:tab w:val="left" w:pos="1201"/>
        </w:tabs>
        <w:ind w:right="117" w:hanging="360"/>
        <w:jc w:val="both"/>
        <w:rPr>
          <w:sz w:val="20"/>
        </w:rPr>
      </w:pPr>
      <w:r>
        <w:rPr>
          <w:b/>
          <w:sz w:val="20"/>
        </w:rPr>
        <w:t xml:space="preserve">Diversification. </w:t>
      </w:r>
      <w:r>
        <w:rPr>
          <w:sz w:val="20"/>
        </w:rPr>
        <w:t>The investments shall be diversified to minimize the risk of loss resulting from over concentration of assets in specific maturity, specific issuer, or specific class of securities. Diversification strategies shall be established and periodically reviewed. At a minimum, diversification standards by security type and issuer shall</w:t>
      </w:r>
      <w:r>
        <w:rPr>
          <w:spacing w:val="-3"/>
          <w:sz w:val="20"/>
        </w:rPr>
        <w:t xml:space="preserve"> </w:t>
      </w:r>
      <w:r>
        <w:rPr>
          <w:sz w:val="20"/>
        </w:rPr>
        <w:t>be:</w:t>
      </w:r>
    </w:p>
    <w:p w:rsidR="00D42623" w:rsidRDefault="00E9675F">
      <w:pPr>
        <w:pStyle w:val="ListParagraph"/>
        <w:numPr>
          <w:ilvl w:val="2"/>
          <w:numId w:val="5"/>
        </w:numPr>
        <w:tabs>
          <w:tab w:val="left" w:pos="1561"/>
        </w:tabs>
        <w:ind w:right="117" w:hanging="360"/>
        <w:jc w:val="both"/>
        <w:rPr>
          <w:sz w:val="20"/>
        </w:rPr>
      </w:pPr>
      <w:r>
        <w:rPr>
          <w:sz w:val="20"/>
        </w:rPr>
        <w:t>U.S. treasuries and securities having principal and/or interest guaranteed by the U.S. government…..……………..…………..…..…………….…..…..….… &lt;=</w:t>
      </w:r>
      <w:r>
        <w:rPr>
          <w:spacing w:val="-27"/>
          <w:sz w:val="20"/>
        </w:rPr>
        <w:t xml:space="preserve"> </w:t>
      </w:r>
      <w:r>
        <w:rPr>
          <w:sz w:val="20"/>
        </w:rPr>
        <w:t>100%</w:t>
      </w:r>
    </w:p>
    <w:p w:rsidR="00D42623" w:rsidRDefault="00D42623">
      <w:pPr>
        <w:pStyle w:val="BodyText"/>
      </w:pPr>
    </w:p>
    <w:p w:rsidR="00D42623" w:rsidRDefault="00E9675F">
      <w:pPr>
        <w:pStyle w:val="ListParagraph"/>
        <w:numPr>
          <w:ilvl w:val="2"/>
          <w:numId w:val="5"/>
        </w:numPr>
        <w:tabs>
          <w:tab w:val="left" w:pos="1561"/>
        </w:tabs>
        <w:ind w:left="1560"/>
        <w:rPr>
          <w:sz w:val="20"/>
        </w:rPr>
      </w:pPr>
      <w:r>
        <w:rPr>
          <w:sz w:val="20"/>
        </w:rPr>
        <w:t>Collateralized time and demand deposits………..…………………..…..…&lt;=</w:t>
      </w:r>
      <w:r>
        <w:rPr>
          <w:spacing w:val="-11"/>
          <w:sz w:val="20"/>
        </w:rPr>
        <w:t xml:space="preserve"> </w:t>
      </w:r>
      <w:r>
        <w:rPr>
          <w:sz w:val="20"/>
        </w:rPr>
        <w:t>100%</w:t>
      </w:r>
    </w:p>
    <w:p w:rsidR="00D42623" w:rsidRDefault="00D42623">
      <w:pPr>
        <w:pStyle w:val="BodyText"/>
        <w:spacing w:before="1"/>
      </w:pPr>
    </w:p>
    <w:p w:rsidR="00D42623" w:rsidRDefault="00E9675F">
      <w:pPr>
        <w:pStyle w:val="ListParagraph"/>
        <w:numPr>
          <w:ilvl w:val="2"/>
          <w:numId w:val="5"/>
        </w:numPr>
        <w:tabs>
          <w:tab w:val="left" w:pos="1560"/>
        </w:tabs>
        <w:ind w:right="116" w:hanging="360"/>
        <w:jc w:val="both"/>
        <w:rPr>
          <w:sz w:val="20"/>
        </w:rPr>
      </w:pPr>
      <w:r>
        <w:rPr>
          <w:sz w:val="20"/>
        </w:rPr>
        <w:t>U.S. Government agencies, including mortgage-backed securities</w:t>
      </w:r>
      <w:r>
        <w:rPr>
          <w:spacing w:val="45"/>
          <w:sz w:val="20"/>
        </w:rPr>
        <w:t xml:space="preserve"> </w:t>
      </w:r>
      <w:r>
        <w:rPr>
          <w:sz w:val="20"/>
        </w:rPr>
        <w:t>and government sponsored enterprises……………………………………...…. &lt;=</w:t>
      </w:r>
      <w:r>
        <w:rPr>
          <w:spacing w:val="26"/>
          <w:sz w:val="20"/>
        </w:rPr>
        <w:t xml:space="preserve"> </w:t>
      </w:r>
      <w:r>
        <w:rPr>
          <w:sz w:val="20"/>
        </w:rPr>
        <w:t>60%</w:t>
      </w:r>
    </w:p>
    <w:p w:rsidR="00D42623" w:rsidRDefault="00D42623">
      <w:pPr>
        <w:jc w:val="both"/>
        <w:rPr>
          <w:sz w:val="20"/>
        </w:rPr>
        <w:sectPr w:rsidR="00D42623">
          <w:pgSz w:w="12240" w:h="15840"/>
          <w:pgMar w:top="1500" w:right="1680" w:bottom="1100" w:left="1680" w:header="0" w:footer="907" w:gutter="0"/>
          <w:cols w:space="720"/>
        </w:sectPr>
      </w:pPr>
    </w:p>
    <w:p w:rsidR="00D42623" w:rsidRDefault="00E9675F">
      <w:pPr>
        <w:pStyle w:val="ListParagraph"/>
        <w:numPr>
          <w:ilvl w:val="2"/>
          <w:numId w:val="5"/>
        </w:numPr>
        <w:tabs>
          <w:tab w:val="left" w:pos="1561"/>
        </w:tabs>
        <w:spacing w:before="77"/>
        <w:ind w:left="1560" w:hanging="360"/>
        <w:rPr>
          <w:sz w:val="20"/>
        </w:rPr>
      </w:pPr>
      <w:r>
        <w:rPr>
          <w:sz w:val="20"/>
        </w:rPr>
        <w:lastRenderedPageBreak/>
        <w:t>Collateralized repurchase agreements……….……………….…….....…. &lt;=</w:t>
      </w:r>
      <w:r>
        <w:rPr>
          <w:spacing w:val="-27"/>
          <w:sz w:val="20"/>
        </w:rPr>
        <w:t xml:space="preserve"> </w:t>
      </w:r>
      <w:r>
        <w:rPr>
          <w:sz w:val="20"/>
        </w:rPr>
        <w:t>100%</w:t>
      </w:r>
    </w:p>
    <w:p w:rsidR="00D42623" w:rsidRDefault="00D42623">
      <w:pPr>
        <w:pStyle w:val="BodyText"/>
        <w:spacing w:before="11"/>
        <w:rPr>
          <w:sz w:val="19"/>
        </w:rPr>
      </w:pPr>
    </w:p>
    <w:p w:rsidR="00D42623" w:rsidRDefault="00E9675F">
      <w:pPr>
        <w:pStyle w:val="ListParagraph"/>
        <w:numPr>
          <w:ilvl w:val="2"/>
          <w:numId w:val="5"/>
        </w:numPr>
        <w:tabs>
          <w:tab w:val="left" w:pos="1560"/>
        </w:tabs>
        <w:spacing w:line="480" w:lineRule="auto"/>
        <w:ind w:left="1199" w:right="171" w:firstLine="1"/>
        <w:jc w:val="both"/>
        <w:rPr>
          <w:sz w:val="20"/>
        </w:rPr>
      </w:pPr>
      <w:r>
        <w:rPr>
          <w:sz w:val="20"/>
        </w:rPr>
        <w:t>U.S. Government agency callable securities………………….………...…. &lt;= 30% f.  Commercial Paper……………………………………………….……………. &lt;= 30% g. Bankers’ Acceptances………………………………………………….…….. &lt;=</w:t>
      </w:r>
      <w:r>
        <w:rPr>
          <w:spacing w:val="-40"/>
          <w:sz w:val="20"/>
        </w:rPr>
        <w:t xml:space="preserve"> </w:t>
      </w:r>
      <w:r>
        <w:rPr>
          <w:sz w:val="20"/>
        </w:rPr>
        <w:t>30%</w:t>
      </w:r>
    </w:p>
    <w:p w:rsidR="00D42623" w:rsidRDefault="00E9675F">
      <w:pPr>
        <w:pStyle w:val="BodyText"/>
        <w:spacing w:before="1"/>
        <w:ind w:left="1199" w:right="156"/>
      </w:pPr>
      <w:r>
        <w:rPr>
          <w:b/>
        </w:rPr>
        <w:t xml:space="preserve">Maximum Maturities. </w:t>
      </w:r>
      <w:r>
        <w:t>To the extent possible, the MCHCP shall attempt to match its investments with anticipated cash flow requirements. Investments in bankers’ acceptances and commercial paper shall mature and become payable not more than one hundred eighty days (180) from the date of purchase. All other investments shall mature and become payable not more than five (5) years from the date of purchase. The weighted average life should not exceed three (3) years and be consistent with the investment objectives.</w:t>
      </w:r>
    </w:p>
    <w:p w:rsidR="00D42623" w:rsidRDefault="00E9675F">
      <w:pPr>
        <w:pStyle w:val="BodyText"/>
        <w:spacing w:before="120"/>
        <w:ind w:left="1199" w:right="123"/>
      </w:pPr>
      <w:r>
        <w:t>Because of inherent difficulties in accurately forecasting cash flow requirements, a portion of the portfolio as determined by the MCHCP should be continuously invested in readily available funds such as in bank deposits or overnight repurchase agreements to ensure that appropriate liquidity is maintained to meet ongoing obligations.</w:t>
      </w:r>
    </w:p>
    <w:p w:rsidR="00D42623" w:rsidRDefault="00D42623">
      <w:pPr>
        <w:pStyle w:val="BodyText"/>
        <w:spacing w:before="6"/>
        <w:rPr>
          <w:sz w:val="24"/>
        </w:rPr>
      </w:pPr>
    </w:p>
    <w:p w:rsidR="00D42623" w:rsidRDefault="00E9675F">
      <w:pPr>
        <w:pStyle w:val="Heading2"/>
        <w:numPr>
          <w:ilvl w:val="0"/>
          <w:numId w:val="5"/>
        </w:numPr>
        <w:tabs>
          <w:tab w:val="left" w:pos="475"/>
        </w:tabs>
        <w:ind w:left="474" w:hanging="355"/>
      </w:pPr>
      <w:r>
        <w:t>Reporting</w:t>
      </w:r>
    </w:p>
    <w:p w:rsidR="00D42623" w:rsidRDefault="00D42623">
      <w:pPr>
        <w:pStyle w:val="BodyText"/>
        <w:spacing w:before="2"/>
        <w:rPr>
          <w:b/>
          <w:sz w:val="24"/>
        </w:rPr>
      </w:pPr>
    </w:p>
    <w:p w:rsidR="00D42623" w:rsidRDefault="00E9675F">
      <w:pPr>
        <w:pStyle w:val="ListParagraph"/>
        <w:numPr>
          <w:ilvl w:val="1"/>
          <w:numId w:val="5"/>
        </w:numPr>
        <w:tabs>
          <w:tab w:val="left" w:pos="1201"/>
        </w:tabs>
        <w:ind w:right="116" w:hanging="360"/>
        <w:jc w:val="both"/>
        <w:rPr>
          <w:sz w:val="20"/>
        </w:rPr>
      </w:pPr>
      <w:r>
        <w:rPr>
          <w:b/>
          <w:sz w:val="20"/>
        </w:rPr>
        <w:t xml:space="preserve">Methods. </w:t>
      </w:r>
      <w:r>
        <w:rPr>
          <w:sz w:val="20"/>
        </w:rPr>
        <w:t>The MCHCP Executive Director in consultation with the Investment officer shall prepare an investment report at least monthly, including a management summary that provides an analysis of the status of the current investment portfolio and transactions made over the last quarter. This management summary will be prepared in a manner that will allow the MCHCP to ascertain whether investment activities during the reporting period have conformed to the investment policy. The report should be provided to the MCHCP Board of Trustees. The report will include the</w:t>
      </w:r>
      <w:r>
        <w:rPr>
          <w:spacing w:val="-2"/>
          <w:sz w:val="20"/>
        </w:rPr>
        <w:t xml:space="preserve"> </w:t>
      </w:r>
      <w:r>
        <w:rPr>
          <w:sz w:val="20"/>
        </w:rPr>
        <w:t>following:</w:t>
      </w:r>
    </w:p>
    <w:p w:rsidR="00D42623" w:rsidRDefault="00D42623">
      <w:pPr>
        <w:pStyle w:val="BodyText"/>
        <w:spacing w:before="5"/>
        <w:rPr>
          <w:sz w:val="24"/>
        </w:rPr>
      </w:pPr>
    </w:p>
    <w:p w:rsidR="00D42623" w:rsidRDefault="00E9675F">
      <w:pPr>
        <w:pStyle w:val="ListParagraph"/>
        <w:numPr>
          <w:ilvl w:val="0"/>
          <w:numId w:val="2"/>
        </w:numPr>
        <w:tabs>
          <w:tab w:val="left" w:pos="1559"/>
          <w:tab w:val="left" w:pos="1560"/>
        </w:tabs>
        <w:spacing w:line="239" w:lineRule="exact"/>
        <w:ind w:hanging="360"/>
        <w:jc w:val="left"/>
        <w:rPr>
          <w:sz w:val="20"/>
        </w:rPr>
      </w:pPr>
      <w:r>
        <w:rPr>
          <w:sz w:val="20"/>
        </w:rPr>
        <w:t>Listing of individual securities held at the end of the reporting</w:t>
      </w:r>
      <w:r>
        <w:rPr>
          <w:spacing w:val="-12"/>
          <w:sz w:val="20"/>
        </w:rPr>
        <w:t xml:space="preserve"> </w:t>
      </w:r>
      <w:r>
        <w:rPr>
          <w:sz w:val="20"/>
        </w:rPr>
        <w:t>period.</w:t>
      </w:r>
    </w:p>
    <w:p w:rsidR="00D42623" w:rsidRDefault="00E9675F">
      <w:pPr>
        <w:pStyle w:val="ListParagraph"/>
        <w:numPr>
          <w:ilvl w:val="0"/>
          <w:numId w:val="2"/>
        </w:numPr>
        <w:tabs>
          <w:tab w:val="left" w:pos="1560"/>
        </w:tabs>
        <w:spacing w:line="235" w:lineRule="auto"/>
        <w:ind w:right="117" w:hanging="360"/>
        <w:rPr>
          <w:sz w:val="20"/>
        </w:rPr>
      </w:pPr>
      <w:r>
        <w:rPr>
          <w:sz w:val="20"/>
        </w:rPr>
        <w:t>At least annually, realized and unrealized gains or losses resulting from appreciation or depreciation by listing the cost and market value of securities over one-year duration that are not intended to be held until maturity (in accordance with Governmental Accounting Standards Board (GASB) 31 requirements).</w:t>
      </w:r>
    </w:p>
    <w:p w:rsidR="00D42623" w:rsidRDefault="00E9675F">
      <w:pPr>
        <w:pStyle w:val="ListParagraph"/>
        <w:numPr>
          <w:ilvl w:val="0"/>
          <w:numId w:val="2"/>
        </w:numPr>
        <w:tabs>
          <w:tab w:val="left" w:pos="1560"/>
        </w:tabs>
        <w:spacing w:before="4" w:line="230" w:lineRule="auto"/>
        <w:ind w:left="1560" w:right="117" w:hanging="360"/>
        <w:rPr>
          <w:sz w:val="20"/>
        </w:rPr>
      </w:pPr>
      <w:r>
        <w:rPr>
          <w:sz w:val="20"/>
        </w:rPr>
        <w:t>Average weighted yield to maturity of portfolio on investments as compared to applicable benchmarks as agreed upon between the MCHCP Executive Director and Investment</w:t>
      </w:r>
      <w:r>
        <w:rPr>
          <w:spacing w:val="-3"/>
          <w:sz w:val="20"/>
        </w:rPr>
        <w:t xml:space="preserve"> </w:t>
      </w:r>
      <w:r>
        <w:rPr>
          <w:sz w:val="20"/>
        </w:rPr>
        <w:t>officer.</w:t>
      </w:r>
    </w:p>
    <w:p w:rsidR="00D42623" w:rsidRDefault="00E9675F">
      <w:pPr>
        <w:pStyle w:val="ListParagraph"/>
        <w:numPr>
          <w:ilvl w:val="0"/>
          <w:numId w:val="2"/>
        </w:numPr>
        <w:tabs>
          <w:tab w:val="left" w:pos="1560"/>
          <w:tab w:val="left" w:pos="1561"/>
        </w:tabs>
        <w:spacing w:before="3" w:line="238" w:lineRule="exact"/>
        <w:ind w:left="1560" w:hanging="360"/>
        <w:jc w:val="left"/>
        <w:rPr>
          <w:sz w:val="20"/>
        </w:rPr>
      </w:pPr>
      <w:r>
        <w:rPr>
          <w:sz w:val="20"/>
        </w:rPr>
        <w:t>Listing of investment by maturity</w:t>
      </w:r>
      <w:r>
        <w:rPr>
          <w:spacing w:val="-7"/>
          <w:sz w:val="20"/>
        </w:rPr>
        <w:t xml:space="preserve"> </w:t>
      </w:r>
      <w:r>
        <w:rPr>
          <w:sz w:val="20"/>
        </w:rPr>
        <w:t>date.</w:t>
      </w:r>
    </w:p>
    <w:p w:rsidR="00D42623" w:rsidRDefault="00E9675F">
      <w:pPr>
        <w:pStyle w:val="ListParagraph"/>
        <w:numPr>
          <w:ilvl w:val="0"/>
          <w:numId w:val="2"/>
        </w:numPr>
        <w:tabs>
          <w:tab w:val="left" w:pos="1560"/>
          <w:tab w:val="left" w:pos="1561"/>
        </w:tabs>
        <w:spacing w:line="238" w:lineRule="exact"/>
        <w:ind w:left="1560" w:hanging="360"/>
        <w:jc w:val="left"/>
        <w:rPr>
          <w:sz w:val="20"/>
        </w:rPr>
      </w:pPr>
      <w:r>
        <w:rPr>
          <w:sz w:val="20"/>
        </w:rPr>
        <w:t>Percentage of the total portfolio that each type of investment</w:t>
      </w:r>
      <w:r>
        <w:rPr>
          <w:spacing w:val="-27"/>
          <w:sz w:val="20"/>
        </w:rPr>
        <w:t xml:space="preserve"> </w:t>
      </w:r>
      <w:r>
        <w:rPr>
          <w:sz w:val="20"/>
        </w:rPr>
        <w:t>represents.</w:t>
      </w:r>
    </w:p>
    <w:p w:rsidR="00D42623" w:rsidRDefault="00D42623">
      <w:pPr>
        <w:pStyle w:val="BodyText"/>
        <w:spacing w:before="9"/>
        <w:rPr>
          <w:sz w:val="22"/>
        </w:rPr>
      </w:pPr>
    </w:p>
    <w:p w:rsidR="00D42623" w:rsidRDefault="00E9675F">
      <w:pPr>
        <w:pStyle w:val="ListParagraph"/>
        <w:numPr>
          <w:ilvl w:val="1"/>
          <w:numId w:val="5"/>
        </w:numPr>
        <w:tabs>
          <w:tab w:val="left" w:pos="1201"/>
        </w:tabs>
        <w:ind w:left="1200" w:right="116" w:hanging="360"/>
        <w:jc w:val="both"/>
        <w:rPr>
          <w:sz w:val="20"/>
        </w:rPr>
      </w:pPr>
      <w:r>
        <w:rPr>
          <w:b/>
          <w:sz w:val="20"/>
        </w:rPr>
        <w:t xml:space="preserve">Performance Standards. </w:t>
      </w:r>
      <w:r>
        <w:rPr>
          <w:sz w:val="20"/>
        </w:rPr>
        <w:t>The investment portfolio will be managed in accordance with the parameters specified within this policy. The portfolio should obtain a market average rate of return during a market/economic environment of stable interest rates. A series of appropriate benchmarks may be established against which portfolio performances shall be compared on a regular</w:t>
      </w:r>
      <w:r>
        <w:rPr>
          <w:spacing w:val="-9"/>
          <w:sz w:val="20"/>
        </w:rPr>
        <w:t xml:space="preserve"> </w:t>
      </w:r>
      <w:r>
        <w:rPr>
          <w:sz w:val="20"/>
        </w:rPr>
        <w:t>basis.</w:t>
      </w:r>
    </w:p>
    <w:p w:rsidR="00D42623" w:rsidRDefault="00D42623">
      <w:pPr>
        <w:pStyle w:val="BodyText"/>
        <w:spacing w:before="5"/>
        <w:rPr>
          <w:sz w:val="24"/>
        </w:rPr>
      </w:pPr>
    </w:p>
    <w:p w:rsidR="00D42623" w:rsidRDefault="00E9675F">
      <w:pPr>
        <w:pStyle w:val="BodyText"/>
        <w:ind w:left="1200" w:right="117"/>
        <w:jc w:val="both"/>
      </w:pPr>
      <w:r>
        <w:t>Commercial paper and bankers’ acceptances will be reviewed monthly by the Investment Manager to determine if the rating level has changed. The commercial paper and bankers’ acceptances should be reviewed for possible sale if the securities are downgraded below the minimum acceptable rating levels.</w:t>
      </w:r>
    </w:p>
    <w:p w:rsidR="00D42623" w:rsidRDefault="00D42623">
      <w:pPr>
        <w:jc w:val="both"/>
        <w:sectPr w:rsidR="00D42623">
          <w:pgSz w:w="12240" w:h="15840"/>
          <w:pgMar w:top="1360" w:right="1680" w:bottom="1100" w:left="1680" w:header="0" w:footer="907" w:gutter="0"/>
          <w:cols w:space="720"/>
        </w:sectPr>
      </w:pPr>
    </w:p>
    <w:p w:rsidR="00D42623" w:rsidRDefault="00E9675F">
      <w:pPr>
        <w:pStyle w:val="ListParagraph"/>
        <w:numPr>
          <w:ilvl w:val="1"/>
          <w:numId w:val="5"/>
        </w:numPr>
        <w:tabs>
          <w:tab w:val="left" w:pos="1201"/>
        </w:tabs>
        <w:spacing w:before="167"/>
        <w:ind w:right="116" w:hanging="359"/>
        <w:jc w:val="both"/>
        <w:rPr>
          <w:sz w:val="20"/>
        </w:rPr>
      </w:pPr>
      <w:r>
        <w:rPr>
          <w:b/>
          <w:sz w:val="20"/>
        </w:rPr>
        <w:lastRenderedPageBreak/>
        <w:t xml:space="preserve">Marking to Market. </w:t>
      </w:r>
      <w:r>
        <w:rPr>
          <w:sz w:val="20"/>
        </w:rPr>
        <w:t>The market value of the portfolio shall be calculated at least monthly and a statement of the market value of the portfolio shall be issued at least monthly. Such market value of the portfolio shall be issued at least annually to the MCHCP Board of Trustees. This will ensure that review of the investment portfolio, in terms of value and price volatility, has been</w:t>
      </w:r>
      <w:r>
        <w:rPr>
          <w:spacing w:val="-9"/>
          <w:sz w:val="20"/>
        </w:rPr>
        <w:t xml:space="preserve"> </w:t>
      </w:r>
      <w:r>
        <w:rPr>
          <w:sz w:val="20"/>
        </w:rPr>
        <w:t>performed.</w:t>
      </w:r>
    </w:p>
    <w:p w:rsidR="00D42623" w:rsidRDefault="00D42623">
      <w:pPr>
        <w:pStyle w:val="BodyText"/>
        <w:spacing w:before="6"/>
        <w:rPr>
          <w:sz w:val="24"/>
        </w:rPr>
      </w:pPr>
    </w:p>
    <w:p w:rsidR="00D42623" w:rsidRDefault="00E9675F">
      <w:pPr>
        <w:pStyle w:val="Heading2"/>
        <w:numPr>
          <w:ilvl w:val="0"/>
          <w:numId w:val="5"/>
        </w:numPr>
        <w:tabs>
          <w:tab w:val="left" w:pos="532"/>
        </w:tabs>
        <w:ind w:left="531" w:hanging="411"/>
      </w:pPr>
      <w:r>
        <w:t>Policy</w:t>
      </w:r>
      <w:r>
        <w:rPr>
          <w:spacing w:val="-4"/>
        </w:rPr>
        <w:t xml:space="preserve"> </w:t>
      </w:r>
      <w:r>
        <w:t>Considerations</w:t>
      </w:r>
    </w:p>
    <w:p w:rsidR="00D42623" w:rsidRDefault="00D42623">
      <w:pPr>
        <w:pStyle w:val="BodyText"/>
        <w:spacing w:before="2"/>
        <w:rPr>
          <w:b/>
          <w:sz w:val="24"/>
        </w:rPr>
      </w:pPr>
    </w:p>
    <w:p w:rsidR="00D42623" w:rsidRDefault="00E9675F">
      <w:pPr>
        <w:pStyle w:val="ListParagraph"/>
        <w:numPr>
          <w:ilvl w:val="1"/>
          <w:numId w:val="5"/>
        </w:numPr>
        <w:tabs>
          <w:tab w:val="left" w:pos="1201"/>
        </w:tabs>
        <w:ind w:right="116" w:hanging="359"/>
        <w:jc w:val="both"/>
        <w:rPr>
          <w:sz w:val="20"/>
        </w:rPr>
      </w:pPr>
      <w:r>
        <w:rPr>
          <w:b/>
          <w:sz w:val="20"/>
        </w:rPr>
        <w:t xml:space="preserve">Exemption. </w:t>
      </w:r>
      <w:r>
        <w:rPr>
          <w:sz w:val="20"/>
        </w:rPr>
        <w:t>Any investment currently held that does not meet the guidelines of this policy shall be exempted from the requirements of this policy. At maturity or liquidation, such monies shall be reinvested only as provided by this</w:t>
      </w:r>
      <w:r>
        <w:rPr>
          <w:spacing w:val="-21"/>
          <w:sz w:val="20"/>
        </w:rPr>
        <w:t xml:space="preserve"> </w:t>
      </w:r>
      <w:r>
        <w:rPr>
          <w:sz w:val="20"/>
        </w:rPr>
        <w:t>policy.</w:t>
      </w:r>
    </w:p>
    <w:p w:rsidR="00D42623" w:rsidRDefault="00D42623">
      <w:pPr>
        <w:pStyle w:val="BodyText"/>
        <w:spacing w:before="6"/>
        <w:rPr>
          <w:sz w:val="24"/>
        </w:rPr>
      </w:pPr>
    </w:p>
    <w:p w:rsidR="00D42623" w:rsidRDefault="00E9675F">
      <w:pPr>
        <w:pStyle w:val="ListParagraph"/>
        <w:numPr>
          <w:ilvl w:val="1"/>
          <w:numId w:val="5"/>
        </w:numPr>
        <w:tabs>
          <w:tab w:val="left" w:pos="1200"/>
        </w:tabs>
        <w:ind w:left="1200" w:right="262" w:hanging="360"/>
        <w:rPr>
          <w:rFonts w:ascii="Times New Roman"/>
          <w:sz w:val="24"/>
        </w:rPr>
      </w:pPr>
      <w:r>
        <w:rPr>
          <w:b/>
          <w:sz w:val="20"/>
        </w:rPr>
        <w:t xml:space="preserve">Adoption. </w:t>
      </w:r>
      <w:r>
        <w:rPr>
          <w:sz w:val="20"/>
        </w:rPr>
        <w:t>This policy shall be adopted by the MCHCP Board of Trustees. The policy shall be reviewed annually by the MCHCP and the investment officer and any recommended changes will be presented by the MCHCP Executive Director to the MCHCP Board of Trustees for</w:t>
      </w:r>
      <w:r>
        <w:rPr>
          <w:spacing w:val="-7"/>
          <w:sz w:val="20"/>
        </w:rPr>
        <w:t xml:space="preserve"> </w:t>
      </w:r>
      <w:r>
        <w:rPr>
          <w:sz w:val="20"/>
        </w:rPr>
        <w:t>consideration.</w:t>
      </w:r>
    </w:p>
    <w:p w:rsidR="00D42623" w:rsidRDefault="00D42623">
      <w:pPr>
        <w:pStyle w:val="BodyText"/>
        <w:spacing w:before="3"/>
        <w:rPr>
          <w:sz w:val="24"/>
        </w:rPr>
      </w:pPr>
    </w:p>
    <w:p w:rsidR="00D42623" w:rsidRPr="006751C4" w:rsidRDefault="00D42623" w:rsidP="006751C4">
      <w:pPr>
        <w:pStyle w:val="Heading2"/>
        <w:tabs>
          <w:tab w:val="left" w:pos="420"/>
        </w:tabs>
        <w:ind w:left="0" w:firstLine="0"/>
      </w:pPr>
    </w:p>
    <w:p w:rsidR="00D42623" w:rsidRDefault="00D42623">
      <w:pPr>
        <w:pStyle w:val="BodyText"/>
      </w:pPr>
    </w:p>
    <w:p w:rsidR="00D42623" w:rsidRDefault="00E9675F">
      <w:pPr>
        <w:pStyle w:val="BodyText"/>
        <w:spacing w:before="9"/>
        <w:rPr>
          <w:sz w:val="13"/>
        </w:rPr>
      </w:pPr>
      <w:r>
        <w:rPr>
          <w:noProof/>
        </w:rPr>
        <mc:AlternateContent>
          <mc:Choice Requires="wpg">
            <w:drawing>
              <wp:anchor distT="0" distB="0" distL="0" distR="0" simplePos="0" relativeHeight="251658240" behindDoc="0" locked="0" layoutInCell="1" allowOverlap="1">
                <wp:simplePos x="0" y="0"/>
                <wp:positionH relativeFrom="page">
                  <wp:posOffset>1143000</wp:posOffset>
                </wp:positionH>
                <wp:positionV relativeFrom="paragraph">
                  <wp:posOffset>125730</wp:posOffset>
                </wp:positionV>
                <wp:extent cx="5321300" cy="18415"/>
                <wp:effectExtent l="9525" t="11430" r="12700" b="8255"/>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1300" cy="18415"/>
                          <a:chOff x="1800" y="198"/>
                          <a:chExt cx="8640" cy="30"/>
                        </a:xfrm>
                      </wpg:grpSpPr>
                      <wps:wsp>
                        <wps:cNvPr id="3" name="Line 12"/>
                        <wps:cNvCnPr>
                          <a:cxnSpLocks noChangeShapeType="1"/>
                        </wps:cNvCnPr>
                        <wps:spPr bwMode="auto">
                          <a:xfrm>
                            <a:off x="1800" y="213"/>
                            <a:ext cx="8640" cy="0"/>
                          </a:xfrm>
                          <a:prstGeom prst="line">
                            <a:avLst/>
                          </a:prstGeom>
                          <a:noFill/>
                          <a:ln w="19050">
                            <a:solidFill>
                              <a:srgbClr val="9F6171"/>
                            </a:solidFill>
                            <a:prstDash val="solid"/>
                            <a:round/>
                            <a:headEnd/>
                            <a:tailEnd/>
                          </a:ln>
                          <a:extLst>
                            <a:ext uri="{909E8E84-426E-40DD-AFC4-6F175D3DCCD1}">
                              <a14:hiddenFill xmlns:a14="http://schemas.microsoft.com/office/drawing/2010/main">
                                <a:noFill/>
                              </a14:hiddenFill>
                            </a:ext>
                          </a:extLst>
                        </wps:spPr>
                        <wps:bodyPr/>
                      </wps:wsp>
                      <wps:wsp>
                        <wps:cNvPr id="4" name="Rectangle 11"/>
                        <wps:cNvSpPr>
                          <a:spLocks noChangeArrowheads="1"/>
                        </wps:cNvSpPr>
                        <wps:spPr bwMode="auto">
                          <a:xfrm>
                            <a:off x="1800" y="198"/>
                            <a:ext cx="5" cy="5"/>
                          </a:xfrm>
                          <a:prstGeom prst="rect">
                            <a:avLst/>
                          </a:prstGeom>
                          <a:solidFill>
                            <a:srgbClr val="ACA89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0"/>
                        <wps:cNvCnPr>
                          <a:cxnSpLocks noChangeShapeType="1"/>
                        </wps:cNvCnPr>
                        <wps:spPr bwMode="auto">
                          <a:xfrm>
                            <a:off x="1800" y="201"/>
                            <a:ext cx="8635" cy="0"/>
                          </a:xfrm>
                          <a:prstGeom prst="line">
                            <a:avLst/>
                          </a:prstGeom>
                          <a:noFill/>
                          <a:ln w="3048">
                            <a:solidFill>
                              <a:srgbClr val="ACA89A"/>
                            </a:solidFill>
                            <a:prstDash val="solid"/>
                            <a:round/>
                            <a:headEnd/>
                            <a:tailEnd/>
                          </a:ln>
                          <a:extLst>
                            <a:ext uri="{909E8E84-426E-40DD-AFC4-6F175D3DCCD1}">
                              <a14:hiddenFill xmlns:a14="http://schemas.microsoft.com/office/drawing/2010/main">
                                <a:noFill/>
                              </a14:hiddenFill>
                            </a:ext>
                          </a:extLst>
                        </wps:spPr>
                        <wps:bodyPr/>
                      </wps:wsp>
                      <wps:wsp>
                        <wps:cNvPr id="6" name="Rectangle 9"/>
                        <wps:cNvSpPr>
                          <a:spLocks noChangeArrowheads="1"/>
                        </wps:cNvSpPr>
                        <wps:spPr bwMode="auto">
                          <a:xfrm>
                            <a:off x="10435" y="198"/>
                            <a:ext cx="5" cy="5"/>
                          </a:xfrm>
                          <a:prstGeom prst="rect">
                            <a:avLst/>
                          </a:prstGeom>
                          <a:solidFill>
                            <a:srgbClr val="F1EF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8"/>
                        <wps:cNvSpPr>
                          <a:spLocks noChangeArrowheads="1"/>
                        </wps:cNvSpPr>
                        <wps:spPr bwMode="auto">
                          <a:xfrm>
                            <a:off x="10435" y="198"/>
                            <a:ext cx="5" cy="5"/>
                          </a:xfrm>
                          <a:prstGeom prst="rect">
                            <a:avLst/>
                          </a:prstGeom>
                          <a:solidFill>
                            <a:srgbClr val="ACA89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
                        <wps:cNvSpPr>
                          <a:spLocks noChangeArrowheads="1"/>
                        </wps:cNvSpPr>
                        <wps:spPr bwMode="auto">
                          <a:xfrm>
                            <a:off x="1800" y="203"/>
                            <a:ext cx="5" cy="21"/>
                          </a:xfrm>
                          <a:prstGeom prst="rect">
                            <a:avLst/>
                          </a:prstGeom>
                          <a:solidFill>
                            <a:srgbClr val="ACA89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
                        <wps:cNvSpPr>
                          <a:spLocks noChangeArrowheads="1"/>
                        </wps:cNvSpPr>
                        <wps:spPr bwMode="auto">
                          <a:xfrm>
                            <a:off x="10435" y="203"/>
                            <a:ext cx="5" cy="21"/>
                          </a:xfrm>
                          <a:prstGeom prst="rect">
                            <a:avLst/>
                          </a:prstGeom>
                          <a:solidFill>
                            <a:srgbClr val="F1EF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5"/>
                        <wps:cNvSpPr>
                          <a:spLocks noChangeArrowheads="1"/>
                        </wps:cNvSpPr>
                        <wps:spPr bwMode="auto">
                          <a:xfrm>
                            <a:off x="1800" y="223"/>
                            <a:ext cx="5" cy="5"/>
                          </a:xfrm>
                          <a:prstGeom prst="rect">
                            <a:avLst/>
                          </a:prstGeom>
                          <a:solidFill>
                            <a:srgbClr val="ACA89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4"/>
                        <wps:cNvCnPr>
                          <a:cxnSpLocks noChangeShapeType="1"/>
                        </wps:cNvCnPr>
                        <wps:spPr bwMode="auto">
                          <a:xfrm>
                            <a:off x="1800" y="226"/>
                            <a:ext cx="8640" cy="0"/>
                          </a:xfrm>
                          <a:prstGeom prst="line">
                            <a:avLst/>
                          </a:prstGeom>
                          <a:noFill/>
                          <a:ln w="3048">
                            <a:solidFill>
                              <a:srgbClr val="F1EFE2"/>
                            </a:solidFill>
                            <a:prstDash val="solid"/>
                            <a:round/>
                            <a:headEnd/>
                            <a:tailEnd/>
                          </a:ln>
                          <a:extLst>
                            <a:ext uri="{909E8E84-426E-40DD-AFC4-6F175D3DCCD1}">
                              <a14:hiddenFill xmlns:a14="http://schemas.microsoft.com/office/drawing/2010/main">
                                <a:noFill/>
                              </a14:hiddenFill>
                            </a:ext>
                          </a:extLst>
                        </wps:spPr>
                        <wps:bodyPr/>
                      </wps:wsp>
                      <wps:wsp>
                        <wps:cNvPr id="12" name="Rectangle 3"/>
                        <wps:cNvSpPr>
                          <a:spLocks noChangeArrowheads="1"/>
                        </wps:cNvSpPr>
                        <wps:spPr bwMode="auto">
                          <a:xfrm>
                            <a:off x="10435" y="223"/>
                            <a:ext cx="5" cy="5"/>
                          </a:xfrm>
                          <a:prstGeom prst="rect">
                            <a:avLst/>
                          </a:prstGeom>
                          <a:solidFill>
                            <a:srgbClr val="F1EF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46D530" id="Group 2" o:spid="_x0000_s1026" style="position:absolute;margin-left:90pt;margin-top:9.9pt;width:419pt;height:1.45pt;z-index:251658240;mso-wrap-distance-left:0;mso-wrap-distance-right:0;mso-position-horizontal-relative:page" coordorigin="1800,198" coordsize="864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">
                <v:line id="Line 12" o:spid="_x0000_s1027" style="position:absolute;visibility:visible;mso-wrap-style:square" from="1800,213" to="10440,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HtUMMAAADaAAAADwAAAGRycy9kb3ducmV2LnhtbESPT2sCMRTE74LfITyhN82q0MpqFFmU&#10;6qnWP4i3x+a5u7h52Sapbr99IxR6HGbmN8xs0Zpa3Mn5yrKC4SABQZxbXXGh4HhY9ycgfEDWWFsm&#10;BT/kYTHvdmaYavvgT7rvQyEihH2KCsoQmlRKn5dk0A9sQxy9q3UGQ5SukNrhI8JNLUdJ8ioNVhwX&#10;SmwoKym/7b+NAl6/n3c0/sqqy8lsP4xLsrfhSqmXXrucggjUhv/wX3ujFYzheSXe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VDDAAAA2gAAAA8AAAAAAAAAAAAA&#10;AAAAoQIAAGRycy9kb3ducmV2LnhtbFBLBQYAAAAABAAEAPkAAACRAwAAAAA=&#10;" strokecolor="#9f6171" strokeweight="1.5pt"/>
                <v:rect id="Rectangle 11" o:spid="_x0000_s1028" style="position:absolute;left:1800;top:198;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L8YA&#10;AADaAAAADwAAAGRycy9kb3ducmV2LnhtbESPQWvCQBSE70L/w/IKvYjZVFqRmFW0KFihB6OFHh/Z&#10;ZzaYfRuyq6b99V2h0OMwM98w+aK3jbhS52vHCp6TFARx6XTNlYLjYTOagvABWWPjmBR8k4fF/GGQ&#10;Y6bdjfd0LUIlIoR9hgpMCG0mpS8NWfSJa4mjd3KdxRBlV0nd4S3CbSPHaTqRFmuOCwZbejNUnouL&#10;VfA5fZ1sLsV5//6z2w7N6sOtD82XUk+P/XIGIlAf/sN/7a1W8AL3K/EG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OL8YAAADaAAAADwAAAAAAAAAAAAAAAACYAgAAZHJz&#10;L2Rvd25yZXYueG1sUEsFBgAAAAAEAAQA9QAAAIsDAAAAAA==&#10;" fillcolor="#aca89a" stroked="f"/>
                <v:line id="Line 10" o:spid="_x0000_s1029" style="position:absolute;visibility:visible;mso-wrap-style:square" from="1800,201" to="1043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Jr38QAAADaAAAADwAAAGRycy9kb3ducmV2LnhtbESPT2vCQBTE74LfYXmCt7pRqNjoKiVp&#10;sdBLm+bQ4yP7TEKzb0N2mz/99F1B8DjMzG+Yw2k0jeipc7VlBetVBIK4sLrmUkH+9fqwA+E8ssbG&#10;MimYyMHpOJ8dMNZ24E/qM1+KAGEXo4LK+zaW0hUVGXQr2xIH72I7gz7IrpS6wyHATSM3UbSVBmsO&#10;CxW2lFRU/GS/RgE9mSSddr3evhsfZS/538f3OVVquRif9yA8jf4evrXftIJHuF4JN0Ae/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UmvfxAAAANoAAAAPAAAAAAAAAAAA&#10;AAAAAKECAABkcnMvZG93bnJldi54bWxQSwUGAAAAAAQABAD5AAAAkgMAAAAA&#10;" strokecolor="#aca89a" strokeweight=".24pt"/>
                <v:rect id="Rectangle 9" o:spid="_x0000_s1030" style="position:absolute;left:10435;top:198;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9USMMA&#10;AADaAAAADwAAAGRycy9kb3ducmV2LnhtbESPQWvCQBSE74X+h+UVvNWNpcYmZpVSUHsSTfX+yL4m&#10;qbtvQ3bV+O+7QqHHYWa+YYrlYI24UO9bxwom4wQEceV0y7WCw9fq+Q2ED8gajWNScCMPy8XjQ4G5&#10;dlfe06UMtYgQ9jkqaELocil91ZBFP3YdcfS+XW8xRNnXUvd4jXBr5EuSpNJiy3GhwY4+GqpO5dkq&#10;mM7Mrss2x9efQxo2dn022zRbKTV6Gt7nIAIN4T/81/7UClK4X4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9USMMAAADaAAAADwAAAAAAAAAAAAAAAACYAgAAZHJzL2Rv&#10;d25yZXYueG1sUEsFBgAAAAAEAAQA9QAAAIgDAAAAAA==&#10;" fillcolor="#f1efe2" stroked="f"/>
                <v:rect id="Rectangle 8" o:spid="_x0000_s1031" style="position:absolute;left:10435;top:198;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QWMUA&#10;AADaAAAADwAAAGRycy9kb3ducmV2LnhtbESPQWsCMRSE74L/ITyhF9GshaqsRtFSwRZ6cFXw+Ng8&#10;N4ubl2UTddtfb4RCj8PMfMPMl62txI0aXzpWMBomIIhzp0suFBz2m8EUhA/IGivHpOCHPCwX3c4c&#10;U+3uvKNbFgoRIexTVGBCqFMpfW7Ioh+6mjh6Z9dYDFE2hdQN3iPcVvI1ScbSYslxwWBN74byS3a1&#10;Co7Tt/Hmml12n79f275Zf7uPfXVS6qXXrmYgArXhP/zX3moFE3heiT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PBBYxQAAANoAAAAPAAAAAAAAAAAAAAAAAJgCAABkcnMv&#10;ZG93bnJldi54bWxQSwUGAAAAAAQABAD1AAAAigMAAAAA&#10;" fillcolor="#aca89a" stroked="f"/>
                <v:rect id="Rectangle 7" o:spid="_x0000_s1032" style="position:absolute;left:1800;top:203;width:5;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KsMA&#10;AADaAAAADwAAAGRycy9kb3ducmV2LnhtbERPz2vCMBS+D/wfwhO8jJlOmEg1FpUV3GAH6wYeH82z&#10;KW1eSpNqt79+OQx2/Ph+b7LRtuJGva8dK3ieJyCIS6drrhR8nvOnFQgfkDW2jknBN3nItpOHDaba&#10;3flEtyJUIoawT1GBCaFLpfSlIYt+7jriyF1dbzFE2FdS93iP4baViyRZSos1xwaDHR0MlU0xWAVf&#10;q5dlPhTN6e3n/fho9h/u9dxelJpNx90aRKAx/Iv/3EetIG6N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EKsMAAADaAAAADwAAAAAAAAAAAAAAAACYAgAAZHJzL2Rv&#10;d25yZXYueG1sUEsFBgAAAAAEAAQA9QAAAIgDAAAAAA==&#10;" fillcolor="#aca89a" stroked="f"/>
                <v:rect id="Rectangle 6" o:spid="_x0000_s1033" style="position:absolute;left:10435;top:203;width:5;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AOsMA&#10;AADaAAAADwAAAGRycy9kb3ducmV2LnhtbESPQWvCQBSE74X+h+UVetONRdMmzSpFsHoq1qb3R/aZ&#10;RHffhuyq8d+7BaHHYWa+YYrFYI04U+9bxwom4wQEceV0y7WC8mc1egPhA7JG45gUXMnDYv74UGCu&#10;3YW/6bwLtYgQ9jkqaELocil91ZBFP3YdcfT2rrcYouxrqXu8RLg18iVJUmmx5bjQYEfLhqrj7mQV&#10;zF7NtsvWv9NDmYa1/TyZrzRbKfX8NHy8gwg0hP/wvb3RCjL4uxJv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DAOsMAAADaAAAADwAAAAAAAAAAAAAAAACYAgAAZHJzL2Rv&#10;d25yZXYueG1sUEsFBgAAAAAEAAQA9QAAAIgDAAAAAA==&#10;" fillcolor="#f1efe2" stroked="f"/>
                <v:rect id="Rectangle 5" o:spid="_x0000_s1034" style="position:absolute;left:1800;top:22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sWMYA&#10;AADbAAAADwAAAGRycy9kb3ducmV2LnhtbESPQWvCQBCF74X+h2UKvRTdtFCR6CptqaBCD0YFj0N2&#10;mg1mZ0N21dhf7xwK3mZ4b977ZjrvfaPO1MU6sIHXYQaKuAy25srAbrsYjEHFhGyxCUwGrhRhPnt8&#10;mGJuw4U3dC5SpSSEY44GXEptrnUsHXmMw9ASi/YbOo9J1q7StsOLhPtGv2XZSHusWRoctvTlqDwW&#10;J29gP34fLU7FcbP6Wy9f3OdP+N42B2Oen/qPCahEfbqb/6+XVvCFXn6RA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sWMYAAADbAAAADwAAAAAAAAAAAAAAAACYAgAAZHJz&#10;L2Rvd25yZXYueG1sUEsFBgAAAAAEAAQA9QAAAIsDAAAAAA==&#10;" fillcolor="#aca89a" stroked="f"/>
                <v:line id="Line 4" o:spid="_x0000_s1035" style="position:absolute;visibility:visible;mso-wrap-style:square" from="1800,226" to="10440,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vC6cAAAADbAAAADwAAAGRycy9kb3ducmV2LnhtbERP22oCMRB9L/gPYQq+1VmrlLI1K6XQ&#10;oi+Clw8YNuNe3EzWTXTTv28Khb7N4VxntY62U3cefONEw3yWgWIpnWmk0nA6fj69gvKBxFDnhDV8&#10;s4d1MXlYUW7cKHu+H0KlUoj4nDTUIfQ5oi9rtuRnrmdJ3NkNlkKCQ4VmoDGF2w6fs+wFLTWSGmrq&#10;+aPm8nK4WQ2CuxbLr3Ybx2WHsdkvrrftQuvpY3x/AxU4hn/xn3tj0vw5/P6SDsDi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LwunAAAAA2wAAAA8AAAAAAAAAAAAAAAAA&#10;oQIAAGRycy9kb3ducmV2LnhtbFBLBQYAAAAABAAEAPkAAACOAwAAAAA=&#10;" strokecolor="#f1efe2" strokeweight=".24pt"/>
                <v:rect id="Rectangle 3" o:spid="_x0000_s1036" style="position:absolute;left:10435;top:22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fiMEA&#10;AADbAAAADwAAAGRycy9kb3ducmV2LnhtbERPS4vCMBC+L/gfwgje1lTRqtUoIqh7WnZ93IdmbKvJ&#10;pDRR67/fLCzsbT6+5yxWrTXiQY2vHCsY9BMQxLnTFRcKTsft+xSED8gajWNS8CIPq2XnbYGZdk/+&#10;pschFCKGsM9QQRlCnUnp85Is+r6riSN3cY3FEGFTSN3gM4ZbI4dJkkqLFceGEmvalJTfDnerYDwx&#10;X/Vsfx5dT2nY293dfKazrVK9bruegwjUhn/xn/tDx/lD+P0lHi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WX4jBAAAA2wAAAA8AAAAAAAAAAAAAAAAAmAIAAGRycy9kb3du&#10;cmV2LnhtbFBLBQYAAAAABAAEAPUAAACGAwAAAAA=&#10;" fillcolor="#f1efe2" stroked="f"/>
                <w10:wrap type="topAndBottom" anchorx="page"/>
              </v:group>
            </w:pict>
          </mc:Fallback>
        </mc:AlternateContent>
      </w:r>
    </w:p>
    <w:sectPr w:rsidR="00D42623">
      <w:pgSz w:w="12240" w:h="15840"/>
      <w:pgMar w:top="1500" w:right="1680" w:bottom="1100" w:left="1680" w:header="0" w:footer="9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C2A" w:rsidRDefault="002A5C2A">
      <w:r>
        <w:separator/>
      </w:r>
    </w:p>
  </w:endnote>
  <w:endnote w:type="continuationSeparator" w:id="0">
    <w:p w:rsidR="002A5C2A" w:rsidRDefault="002A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623" w:rsidRDefault="00E9675F">
    <w:pPr>
      <w:pStyle w:val="BodyText"/>
      <w:spacing w:line="14" w:lineRule="auto"/>
    </w:pPr>
    <w:r>
      <w:rPr>
        <w:noProof/>
      </w:rPr>
      <mc:AlternateContent>
        <mc:Choice Requires="wps">
          <w:drawing>
            <wp:anchor distT="0" distB="0" distL="114300" distR="114300" simplePos="0" relativeHeight="251657728" behindDoc="1" locked="0" layoutInCell="1" allowOverlap="1">
              <wp:simplePos x="0" y="0"/>
              <wp:positionH relativeFrom="page">
                <wp:posOffset>3581400</wp:posOffset>
              </wp:positionH>
              <wp:positionV relativeFrom="page">
                <wp:posOffset>9342755</wp:posOffset>
              </wp:positionV>
              <wp:extent cx="60960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2623" w:rsidRDefault="00E9675F">
                          <w:pPr>
                            <w:spacing w:before="14"/>
                            <w:ind w:left="20"/>
                            <w:rPr>
                              <w:sz w:val="18"/>
                            </w:rPr>
                          </w:pPr>
                          <w:r>
                            <w:rPr>
                              <w:sz w:val="18"/>
                            </w:rPr>
                            <w:t xml:space="preserve">Page </w:t>
                          </w:r>
                          <w:r>
                            <w:fldChar w:fldCharType="begin"/>
                          </w:r>
                          <w:r>
                            <w:rPr>
                              <w:sz w:val="18"/>
                            </w:rPr>
                            <w:instrText xml:space="preserve"> PAGE </w:instrText>
                          </w:r>
                          <w:r>
                            <w:fldChar w:fldCharType="separate"/>
                          </w:r>
                          <w:r w:rsidR="00C0382B">
                            <w:rPr>
                              <w:noProof/>
                              <w:sz w:val="18"/>
                            </w:rPr>
                            <w:t>1</w:t>
                          </w:r>
                          <w:r>
                            <w:fldChar w:fldCharType="end"/>
                          </w:r>
                          <w:r>
                            <w:rPr>
                              <w:sz w:val="18"/>
                            </w:rPr>
                            <w:t xml:space="preserve">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2pt;margin-top:735.65pt;width:48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" filled="f" stroked="f">
              <v:textbox inset="0,0,0,0">
                <w:txbxContent>
                  <w:p w:rsidR="00D42623" w:rsidRDefault="00E9675F">
                    <w:pPr>
                      <w:spacing w:before="14"/>
                      <w:ind w:left="20"/>
                      <w:rPr>
                        <w:sz w:val="18"/>
                      </w:rPr>
                    </w:pPr>
                    <w:r>
                      <w:rPr>
                        <w:sz w:val="18"/>
                      </w:rPr>
                      <w:t xml:space="preserve">Page </w:t>
                    </w:r>
                    <w:r>
                      <w:fldChar w:fldCharType="begin"/>
                    </w:r>
                    <w:r>
                      <w:rPr>
                        <w:sz w:val="18"/>
                      </w:rPr>
                      <w:instrText xml:space="preserve"> PAGE </w:instrText>
                    </w:r>
                    <w:r>
                      <w:fldChar w:fldCharType="separate"/>
                    </w:r>
                    <w:r w:rsidR="00C0382B">
                      <w:rPr>
                        <w:noProof/>
                        <w:sz w:val="18"/>
                      </w:rPr>
                      <w:t>1</w:t>
                    </w:r>
                    <w:r>
                      <w:fldChar w:fldCharType="end"/>
                    </w:r>
                    <w:r>
                      <w:rPr>
                        <w:sz w:val="18"/>
                      </w:rPr>
                      <w:t xml:space="preserve"> of 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C2A" w:rsidRDefault="002A5C2A">
      <w:r>
        <w:separator/>
      </w:r>
    </w:p>
  </w:footnote>
  <w:footnote w:type="continuationSeparator" w:id="0">
    <w:p w:rsidR="002A5C2A" w:rsidRDefault="002A5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765AC"/>
    <w:multiLevelType w:val="hybridMultilevel"/>
    <w:tmpl w:val="6F9630E0"/>
    <w:lvl w:ilvl="0" w:tplc="61BCE5D8">
      <w:start w:val="1"/>
      <w:numFmt w:val="lowerLetter"/>
      <w:lvlText w:val="%1)"/>
      <w:lvlJc w:val="left"/>
      <w:pPr>
        <w:ind w:left="2999" w:hanging="361"/>
        <w:jc w:val="left"/>
      </w:pPr>
      <w:rPr>
        <w:rFonts w:ascii="Arial" w:eastAsia="Arial" w:hAnsi="Arial" w:cs="Arial" w:hint="default"/>
        <w:spacing w:val="-1"/>
        <w:w w:val="100"/>
        <w:sz w:val="20"/>
        <w:szCs w:val="20"/>
      </w:rPr>
    </w:lvl>
    <w:lvl w:ilvl="1" w:tplc="2EA02580">
      <w:numFmt w:val="bullet"/>
      <w:lvlText w:val="•"/>
      <w:lvlJc w:val="left"/>
      <w:pPr>
        <w:ind w:left="3588" w:hanging="361"/>
      </w:pPr>
      <w:rPr>
        <w:rFonts w:hint="default"/>
      </w:rPr>
    </w:lvl>
    <w:lvl w:ilvl="2" w:tplc="0DA86A0E">
      <w:numFmt w:val="bullet"/>
      <w:lvlText w:val="•"/>
      <w:lvlJc w:val="left"/>
      <w:pPr>
        <w:ind w:left="4176" w:hanging="361"/>
      </w:pPr>
      <w:rPr>
        <w:rFonts w:hint="default"/>
      </w:rPr>
    </w:lvl>
    <w:lvl w:ilvl="3" w:tplc="1B7EEF9E">
      <w:numFmt w:val="bullet"/>
      <w:lvlText w:val="•"/>
      <w:lvlJc w:val="left"/>
      <w:pPr>
        <w:ind w:left="4764" w:hanging="361"/>
      </w:pPr>
      <w:rPr>
        <w:rFonts w:hint="default"/>
      </w:rPr>
    </w:lvl>
    <w:lvl w:ilvl="4" w:tplc="1E0AE062">
      <w:numFmt w:val="bullet"/>
      <w:lvlText w:val="•"/>
      <w:lvlJc w:val="left"/>
      <w:pPr>
        <w:ind w:left="5352" w:hanging="361"/>
      </w:pPr>
      <w:rPr>
        <w:rFonts w:hint="default"/>
      </w:rPr>
    </w:lvl>
    <w:lvl w:ilvl="5" w:tplc="986A980E">
      <w:numFmt w:val="bullet"/>
      <w:lvlText w:val="•"/>
      <w:lvlJc w:val="left"/>
      <w:pPr>
        <w:ind w:left="5940" w:hanging="361"/>
      </w:pPr>
      <w:rPr>
        <w:rFonts w:hint="default"/>
      </w:rPr>
    </w:lvl>
    <w:lvl w:ilvl="6" w:tplc="D556F734">
      <w:numFmt w:val="bullet"/>
      <w:lvlText w:val="•"/>
      <w:lvlJc w:val="left"/>
      <w:pPr>
        <w:ind w:left="6528" w:hanging="361"/>
      </w:pPr>
      <w:rPr>
        <w:rFonts w:hint="default"/>
      </w:rPr>
    </w:lvl>
    <w:lvl w:ilvl="7" w:tplc="1F9021CE">
      <w:numFmt w:val="bullet"/>
      <w:lvlText w:val="•"/>
      <w:lvlJc w:val="left"/>
      <w:pPr>
        <w:ind w:left="7116" w:hanging="361"/>
      </w:pPr>
      <w:rPr>
        <w:rFonts w:hint="default"/>
      </w:rPr>
    </w:lvl>
    <w:lvl w:ilvl="8" w:tplc="491408F8">
      <w:numFmt w:val="bullet"/>
      <w:lvlText w:val="•"/>
      <w:lvlJc w:val="left"/>
      <w:pPr>
        <w:ind w:left="7704" w:hanging="361"/>
      </w:pPr>
      <w:rPr>
        <w:rFonts w:hint="default"/>
      </w:rPr>
    </w:lvl>
  </w:abstractNum>
  <w:abstractNum w:abstractNumId="1" w15:restartNumberingAfterBreak="0">
    <w:nsid w:val="15854ED0"/>
    <w:multiLevelType w:val="hybridMultilevel"/>
    <w:tmpl w:val="8A4C123A"/>
    <w:lvl w:ilvl="0" w:tplc="BEE6F258">
      <w:numFmt w:val="bullet"/>
      <w:lvlText w:val="o"/>
      <w:lvlJc w:val="left"/>
      <w:pPr>
        <w:ind w:left="1559" w:hanging="361"/>
      </w:pPr>
      <w:rPr>
        <w:rFonts w:ascii="Courier New" w:eastAsia="Courier New" w:hAnsi="Courier New" w:cs="Courier New" w:hint="default"/>
        <w:w w:val="100"/>
        <w:sz w:val="20"/>
        <w:szCs w:val="20"/>
      </w:rPr>
    </w:lvl>
    <w:lvl w:ilvl="1" w:tplc="9EB86EC8">
      <w:numFmt w:val="bullet"/>
      <w:lvlText w:val="•"/>
      <w:lvlJc w:val="left"/>
      <w:pPr>
        <w:ind w:left="2292" w:hanging="361"/>
      </w:pPr>
      <w:rPr>
        <w:rFonts w:hint="default"/>
      </w:rPr>
    </w:lvl>
    <w:lvl w:ilvl="2" w:tplc="77C89AA8">
      <w:numFmt w:val="bullet"/>
      <w:lvlText w:val="•"/>
      <w:lvlJc w:val="left"/>
      <w:pPr>
        <w:ind w:left="3024" w:hanging="361"/>
      </w:pPr>
      <w:rPr>
        <w:rFonts w:hint="default"/>
      </w:rPr>
    </w:lvl>
    <w:lvl w:ilvl="3" w:tplc="A0BE018C">
      <w:numFmt w:val="bullet"/>
      <w:lvlText w:val="•"/>
      <w:lvlJc w:val="left"/>
      <w:pPr>
        <w:ind w:left="3756" w:hanging="361"/>
      </w:pPr>
      <w:rPr>
        <w:rFonts w:hint="default"/>
      </w:rPr>
    </w:lvl>
    <w:lvl w:ilvl="4" w:tplc="C16CEC4E">
      <w:numFmt w:val="bullet"/>
      <w:lvlText w:val="•"/>
      <w:lvlJc w:val="left"/>
      <w:pPr>
        <w:ind w:left="4488" w:hanging="361"/>
      </w:pPr>
      <w:rPr>
        <w:rFonts w:hint="default"/>
      </w:rPr>
    </w:lvl>
    <w:lvl w:ilvl="5" w:tplc="0040EBCA">
      <w:numFmt w:val="bullet"/>
      <w:lvlText w:val="•"/>
      <w:lvlJc w:val="left"/>
      <w:pPr>
        <w:ind w:left="5220" w:hanging="361"/>
      </w:pPr>
      <w:rPr>
        <w:rFonts w:hint="default"/>
      </w:rPr>
    </w:lvl>
    <w:lvl w:ilvl="6" w:tplc="21925070">
      <w:numFmt w:val="bullet"/>
      <w:lvlText w:val="•"/>
      <w:lvlJc w:val="left"/>
      <w:pPr>
        <w:ind w:left="5952" w:hanging="361"/>
      </w:pPr>
      <w:rPr>
        <w:rFonts w:hint="default"/>
      </w:rPr>
    </w:lvl>
    <w:lvl w:ilvl="7" w:tplc="2A1E31C8">
      <w:numFmt w:val="bullet"/>
      <w:lvlText w:val="•"/>
      <w:lvlJc w:val="left"/>
      <w:pPr>
        <w:ind w:left="6684" w:hanging="361"/>
      </w:pPr>
      <w:rPr>
        <w:rFonts w:hint="default"/>
      </w:rPr>
    </w:lvl>
    <w:lvl w:ilvl="8" w:tplc="19367A9C">
      <w:numFmt w:val="bullet"/>
      <w:lvlText w:val="•"/>
      <w:lvlJc w:val="left"/>
      <w:pPr>
        <w:ind w:left="7416" w:hanging="361"/>
      </w:pPr>
      <w:rPr>
        <w:rFonts w:hint="default"/>
      </w:rPr>
    </w:lvl>
  </w:abstractNum>
  <w:abstractNum w:abstractNumId="2" w15:restartNumberingAfterBreak="0">
    <w:nsid w:val="1CAA54DE"/>
    <w:multiLevelType w:val="hybridMultilevel"/>
    <w:tmpl w:val="23F00486"/>
    <w:lvl w:ilvl="0" w:tplc="E314F65C">
      <w:numFmt w:val="bullet"/>
      <w:lvlText w:val=""/>
      <w:lvlJc w:val="left"/>
      <w:pPr>
        <w:ind w:left="839" w:hanging="361"/>
      </w:pPr>
      <w:rPr>
        <w:rFonts w:ascii="Symbol" w:eastAsia="Symbol" w:hAnsi="Symbol" w:cs="Symbol" w:hint="default"/>
        <w:w w:val="100"/>
        <w:sz w:val="20"/>
        <w:szCs w:val="20"/>
      </w:rPr>
    </w:lvl>
    <w:lvl w:ilvl="1" w:tplc="E1C847E6">
      <w:numFmt w:val="bullet"/>
      <w:lvlText w:val="•"/>
      <w:lvlJc w:val="left"/>
      <w:pPr>
        <w:ind w:left="1644" w:hanging="361"/>
      </w:pPr>
      <w:rPr>
        <w:rFonts w:hint="default"/>
      </w:rPr>
    </w:lvl>
    <w:lvl w:ilvl="2" w:tplc="D212B60A">
      <w:numFmt w:val="bullet"/>
      <w:lvlText w:val="•"/>
      <w:lvlJc w:val="left"/>
      <w:pPr>
        <w:ind w:left="2448" w:hanging="361"/>
      </w:pPr>
      <w:rPr>
        <w:rFonts w:hint="default"/>
      </w:rPr>
    </w:lvl>
    <w:lvl w:ilvl="3" w:tplc="519661FC">
      <w:numFmt w:val="bullet"/>
      <w:lvlText w:val="•"/>
      <w:lvlJc w:val="left"/>
      <w:pPr>
        <w:ind w:left="3252" w:hanging="361"/>
      </w:pPr>
      <w:rPr>
        <w:rFonts w:hint="default"/>
      </w:rPr>
    </w:lvl>
    <w:lvl w:ilvl="4" w:tplc="7164A36A">
      <w:numFmt w:val="bullet"/>
      <w:lvlText w:val="•"/>
      <w:lvlJc w:val="left"/>
      <w:pPr>
        <w:ind w:left="4056" w:hanging="361"/>
      </w:pPr>
      <w:rPr>
        <w:rFonts w:hint="default"/>
      </w:rPr>
    </w:lvl>
    <w:lvl w:ilvl="5" w:tplc="A45C09EA">
      <w:numFmt w:val="bullet"/>
      <w:lvlText w:val="•"/>
      <w:lvlJc w:val="left"/>
      <w:pPr>
        <w:ind w:left="4860" w:hanging="361"/>
      </w:pPr>
      <w:rPr>
        <w:rFonts w:hint="default"/>
      </w:rPr>
    </w:lvl>
    <w:lvl w:ilvl="6" w:tplc="BA5048C2">
      <w:numFmt w:val="bullet"/>
      <w:lvlText w:val="•"/>
      <w:lvlJc w:val="left"/>
      <w:pPr>
        <w:ind w:left="5664" w:hanging="361"/>
      </w:pPr>
      <w:rPr>
        <w:rFonts w:hint="default"/>
      </w:rPr>
    </w:lvl>
    <w:lvl w:ilvl="7" w:tplc="C6346D4E">
      <w:numFmt w:val="bullet"/>
      <w:lvlText w:val="•"/>
      <w:lvlJc w:val="left"/>
      <w:pPr>
        <w:ind w:left="6468" w:hanging="361"/>
      </w:pPr>
      <w:rPr>
        <w:rFonts w:hint="default"/>
      </w:rPr>
    </w:lvl>
    <w:lvl w:ilvl="8" w:tplc="AE708470">
      <w:numFmt w:val="bullet"/>
      <w:lvlText w:val="•"/>
      <w:lvlJc w:val="left"/>
      <w:pPr>
        <w:ind w:left="7272" w:hanging="361"/>
      </w:pPr>
      <w:rPr>
        <w:rFonts w:hint="default"/>
      </w:rPr>
    </w:lvl>
  </w:abstractNum>
  <w:abstractNum w:abstractNumId="3" w15:restartNumberingAfterBreak="0">
    <w:nsid w:val="2BEE7876"/>
    <w:multiLevelType w:val="hybridMultilevel"/>
    <w:tmpl w:val="5694E730"/>
    <w:lvl w:ilvl="0" w:tplc="CA163DA0">
      <w:numFmt w:val="bullet"/>
      <w:lvlText w:val="o"/>
      <w:lvlJc w:val="left"/>
      <w:pPr>
        <w:ind w:left="1560" w:hanging="361"/>
      </w:pPr>
      <w:rPr>
        <w:rFonts w:ascii="Courier New" w:eastAsia="Courier New" w:hAnsi="Courier New" w:cs="Courier New" w:hint="default"/>
        <w:w w:val="100"/>
        <w:sz w:val="20"/>
        <w:szCs w:val="20"/>
      </w:rPr>
    </w:lvl>
    <w:lvl w:ilvl="1" w:tplc="A95003F2">
      <w:numFmt w:val="bullet"/>
      <w:lvlText w:val="•"/>
      <w:lvlJc w:val="left"/>
      <w:pPr>
        <w:ind w:left="2292" w:hanging="361"/>
      </w:pPr>
      <w:rPr>
        <w:rFonts w:hint="default"/>
      </w:rPr>
    </w:lvl>
    <w:lvl w:ilvl="2" w:tplc="9B64BEA6">
      <w:numFmt w:val="bullet"/>
      <w:lvlText w:val="•"/>
      <w:lvlJc w:val="left"/>
      <w:pPr>
        <w:ind w:left="3024" w:hanging="361"/>
      </w:pPr>
      <w:rPr>
        <w:rFonts w:hint="default"/>
      </w:rPr>
    </w:lvl>
    <w:lvl w:ilvl="3" w:tplc="684482F4">
      <w:numFmt w:val="bullet"/>
      <w:lvlText w:val="•"/>
      <w:lvlJc w:val="left"/>
      <w:pPr>
        <w:ind w:left="3756" w:hanging="361"/>
      </w:pPr>
      <w:rPr>
        <w:rFonts w:hint="default"/>
      </w:rPr>
    </w:lvl>
    <w:lvl w:ilvl="4" w:tplc="2B58450C">
      <w:numFmt w:val="bullet"/>
      <w:lvlText w:val="•"/>
      <w:lvlJc w:val="left"/>
      <w:pPr>
        <w:ind w:left="4488" w:hanging="361"/>
      </w:pPr>
      <w:rPr>
        <w:rFonts w:hint="default"/>
      </w:rPr>
    </w:lvl>
    <w:lvl w:ilvl="5" w:tplc="2C1A3E82">
      <w:numFmt w:val="bullet"/>
      <w:lvlText w:val="•"/>
      <w:lvlJc w:val="left"/>
      <w:pPr>
        <w:ind w:left="5220" w:hanging="361"/>
      </w:pPr>
      <w:rPr>
        <w:rFonts w:hint="default"/>
      </w:rPr>
    </w:lvl>
    <w:lvl w:ilvl="6" w:tplc="6CCEB088">
      <w:numFmt w:val="bullet"/>
      <w:lvlText w:val="•"/>
      <w:lvlJc w:val="left"/>
      <w:pPr>
        <w:ind w:left="5952" w:hanging="361"/>
      </w:pPr>
      <w:rPr>
        <w:rFonts w:hint="default"/>
      </w:rPr>
    </w:lvl>
    <w:lvl w:ilvl="7" w:tplc="FC7263CA">
      <w:numFmt w:val="bullet"/>
      <w:lvlText w:val="•"/>
      <w:lvlJc w:val="left"/>
      <w:pPr>
        <w:ind w:left="6684" w:hanging="361"/>
      </w:pPr>
      <w:rPr>
        <w:rFonts w:hint="default"/>
      </w:rPr>
    </w:lvl>
    <w:lvl w:ilvl="8" w:tplc="BFEA1D30">
      <w:numFmt w:val="bullet"/>
      <w:lvlText w:val="•"/>
      <w:lvlJc w:val="left"/>
      <w:pPr>
        <w:ind w:left="7416" w:hanging="361"/>
      </w:pPr>
      <w:rPr>
        <w:rFonts w:hint="default"/>
      </w:rPr>
    </w:lvl>
  </w:abstractNum>
  <w:abstractNum w:abstractNumId="4" w15:restartNumberingAfterBreak="0">
    <w:nsid w:val="466A14FC"/>
    <w:multiLevelType w:val="hybridMultilevel"/>
    <w:tmpl w:val="7F207B5C"/>
    <w:lvl w:ilvl="0" w:tplc="FDD2E566">
      <w:start w:val="1"/>
      <w:numFmt w:val="upperRoman"/>
      <w:lvlText w:val="%1."/>
      <w:lvlJc w:val="left"/>
      <w:pPr>
        <w:ind w:left="286" w:hanging="167"/>
        <w:jc w:val="left"/>
      </w:pPr>
      <w:rPr>
        <w:rFonts w:ascii="Arial" w:eastAsia="Arial" w:hAnsi="Arial" w:cs="Arial" w:hint="default"/>
        <w:b/>
        <w:bCs/>
        <w:spacing w:val="-1"/>
        <w:w w:val="100"/>
        <w:sz w:val="20"/>
        <w:szCs w:val="20"/>
      </w:rPr>
    </w:lvl>
    <w:lvl w:ilvl="1" w:tplc="1A10411E">
      <w:start w:val="1"/>
      <w:numFmt w:val="decimal"/>
      <w:lvlText w:val="%2."/>
      <w:lvlJc w:val="left"/>
      <w:pPr>
        <w:ind w:left="1199" w:hanging="361"/>
        <w:jc w:val="left"/>
      </w:pPr>
      <w:rPr>
        <w:rFonts w:hint="default"/>
        <w:b/>
        <w:bCs/>
        <w:spacing w:val="-1"/>
        <w:w w:val="100"/>
      </w:rPr>
    </w:lvl>
    <w:lvl w:ilvl="2" w:tplc="94A4FC2C">
      <w:start w:val="1"/>
      <w:numFmt w:val="lowerLetter"/>
      <w:lvlText w:val="%3."/>
      <w:lvlJc w:val="left"/>
      <w:pPr>
        <w:ind w:left="1559" w:hanging="361"/>
        <w:jc w:val="left"/>
      </w:pPr>
      <w:rPr>
        <w:rFonts w:hint="default"/>
        <w:w w:val="100"/>
      </w:rPr>
    </w:lvl>
    <w:lvl w:ilvl="3" w:tplc="CE16CB48">
      <w:numFmt w:val="bullet"/>
      <w:lvlText w:val="■"/>
      <w:lvlJc w:val="left"/>
      <w:pPr>
        <w:ind w:left="2279" w:hanging="361"/>
      </w:pPr>
      <w:rPr>
        <w:rFonts w:ascii="Arial" w:eastAsia="Arial" w:hAnsi="Arial" w:cs="Arial" w:hint="default"/>
        <w:w w:val="75"/>
        <w:sz w:val="20"/>
        <w:szCs w:val="20"/>
      </w:rPr>
    </w:lvl>
    <w:lvl w:ilvl="4" w:tplc="24620DE2">
      <w:numFmt w:val="bullet"/>
      <w:lvlText w:val="•"/>
      <w:lvlJc w:val="left"/>
      <w:pPr>
        <w:ind w:left="3222" w:hanging="361"/>
      </w:pPr>
      <w:rPr>
        <w:rFonts w:hint="default"/>
      </w:rPr>
    </w:lvl>
    <w:lvl w:ilvl="5" w:tplc="F398A476">
      <w:numFmt w:val="bullet"/>
      <w:lvlText w:val="•"/>
      <w:lvlJc w:val="left"/>
      <w:pPr>
        <w:ind w:left="4165" w:hanging="361"/>
      </w:pPr>
      <w:rPr>
        <w:rFonts w:hint="default"/>
      </w:rPr>
    </w:lvl>
    <w:lvl w:ilvl="6" w:tplc="DB784AB2">
      <w:numFmt w:val="bullet"/>
      <w:lvlText w:val="•"/>
      <w:lvlJc w:val="left"/>
      <w:pPr>
        <w:ind w:left="5108" w:hanging="361"/>
      </w:pPr>
      <w:rPr>
        <w:rFonts w:hint="default"/>
      </w:rPr>
    </w:lvl>
    <w:lvl w:ilvl="7" w:tplc="1DB86598">
      <w:numFmt w:val="bullet"/>
      <w:lvlText w:val="•"/>
      <w:lvlJc w:val="left"/>
      <w:pPr>
        <w:ind w:left="6051" w:hanging="361"/>
      </w:pPr>
      <w:rPr>
        <w:rFonts w:hint="default"/>
      </w:rPr>
    </w:lvl>
    <w:lvl w:ilvl="8" w:tplc="D3C48A56">
      <w:numFmt w:val="bullet"/>
      <w:lvlText w:val="•"/>
      <w:lvlJc w:val="left"/>
      <w:pPr>
        <w:ind w:left="6994" w:hanging="361"/>
      </w:pPr>
      <w:rPr>
        <w:rFont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623"/>
    <w:rsid w:val="002A5C2A"/>
    <w:rsid w:val="006751C4"/>
    <w:rsid w:val="00A24FCC"/>
    <w:rsid w:val="00C0382B"/>
    <w:rsid w:val="00D42623"/>
    <w:rsid w:val="00E9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69F556-F4EB-447A-A793-591217FC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1106" w:right="1106"/>
      <w:jc w:val="center"/>
      <w:outlineLvl w:val="0"/>
    </w:pPr>
    <w:rPr>
      <w:b/>
      <w:bCs/>
      <w:sz w:val="28"/>
      <w:szCs w:val="28"/>
    </w:rPr>
  </w:style>
  <w:style w:type="paragraph" w:styleId="Heading2">
    <w:name w:val="heading 2"/>
    <w:basedOn w:val="Normal"/>
    <w:uiPriority w:val="1"/>
    <w:qFormat/>
    <w:pPr>
      <w:ind w:left="419" w:hanging="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559"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MISSOURI HIGHWAY AND TRANSPORTATION COMMISSION</vt:lpstr>
    </vt:vector>
  </TitlesOfParts>
  <Company>Missouri Consolidated Health Care Plan</Company>
  <LinksUpToDate>false</LinksUpToDate>
  <CharactersWithSpaces>19092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HIGHWAY AND TRANSPORTATION COMMISSION</dc:title>
  <dc:creator>coopes2</dc:creator>
  <cp:lastModifiedBy>Karen Avey</cp:lastModifiedBy>
  <cp:revision>2</cp:revision>
  <dcterms:created xsi:type="dcterms:W3CDTF">2018-04-13T19:05:00Z</dcterms:created>
  <dcterms:modified xsi:type="dcterms:W3CDTF">2018-04-13T19:05:00Z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2008-09-04T00:00:00Z</vt:filetime>
  </property>
  <property fmtid="{D5CDD505-2E9C-101B-9397-08002B2CF9AE}" pid="3" name="Creator">
    <vt:lpwstr>Acrobat PDFMaker 8.1 for Word</vt:lpwstr>
  </property>
  <property fmtid="{D5CDD505-2E9C-101B-9397-08002B2CF9AE}" pid="4" name="LastSaved">
    <vt:filetime>2018-04-12T00:00:00Z</vt:filetime>
  </property>
  <property fmtid="{D5CDD505-2E9C-101B-9397-08002B2CF9AE}" pid="5" name="_AdHocReviewCycleID">
    <vt:i4>2134049700</vt:i4>
  </property>
  <property fmtid="{D5CDD505-2E9C-101B-9397-08002B2CF9AE}" pid="6" name="_NewReviewCycle">
    <vt:lpwstr/>
  </property>
  <property fmtid="{D5CDD505-2E9C-101B-9397-08002B2CF9AE}" pid="7" name="_EmailSubject">
    <vt:lpwstr>Investment Policies</vt:lpwstr>
  </property>
  <property fmtid="{D5CDD505-2E9C-101B-9397-08002B2CF9AE}" pid="8" name="_AuthorEmail">
    <vt:lpwstr>Stacia.Fischer@mchcp.org</vt:lpwstr>
  </property>
  <property fmtid="{D5CDD505-2E9C-101B-9397-08002B2CF9AE}" pid="9" name="_AuthorEmailDisplayName">
    <vt:lpwstr>Stacia Fischer</vt:lpwstr>
  </property>
  <property fmtid="{D5CDD505-2E9C-101B-9397-08002B2CF9AE}" pid="10" name="_PreviousAdHocReviewCycleID">
    <vt:i4>-1585554068</vt:i4>
  </property>
  <property fmtid="{D5CDD505-2E9C-101B-9397-08002B2CF9AE}" pid="11" name="_ReviewingToolsShownOnce">
    <vt:lpwstr/>
  </property>
</Properties>
</file>